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0984" w14:textId="5738E724" w:rsidR="00EC7F80" w:rsidRDefault="00EC7F80" w:rsidP="00EC7F80">
      <w:pPr>
        <w:tabs>
          <w:tab w:val="num" w:pos="360"/>
        </w:tabs>
        <w:spacing w:line="240" w:lineRule="auto"/>
        <w:ind w:left="426" w:hanging="426"/>
        <w:jc w:val="center"/>
        <w:rPr>
          <w:b/>
          <w:bCs/>
          <w:color w:val="FF0000"/>
          <w:sz w:val="32"/>
          <w:szCs w:val="32"/>
          <w:lang w:val="vi-VN"/>
        </w:rPr>
      </w:pPr>
      <w:bookmarkStart w:id="0" w:name="_Toc22672380"/>
      <w:bookmarkStart w:id="1" w:name="_Toc22931669"/>
      <w:bookmarkStart w:id="2" w:name="_Toc22931915"/>
      <w:bookmarkStart w:id="3" w:name="_Toc22932378"/>
      <w:bookmarkStart w:id="4" w:name="_Toc22933386"/>
      <w:bookmarkStart w:id="5" w:name="_Toc22970476"/>
      <w:bookmarkStart w:id="6" w:name="_Toc24179617"/>
      <w:bookmarkStart w:id="7" w:name="_Toc32088423"/>
      <w:bookmarkStart w:id="8" w:name="_Toc37946465"/>
      <w:bookmarkStart w:id="9" w:name="_Toc39431312"/>
      <w:bookmarkStart w:id="10" w:name="_Toc40078822"/>
      <w:r w:rsidRPr="00EC7F80">
        <w:rPr>
          <w:b/>
          <w:bCs/>
          <w:color w:val="FF0000"/>
          <w:sz w:val="32"/>
          <w:szCs w:val="32"/>
          <w:lang w:val="vi-VN"/>
        </w:rPr>
        <w:t>GIÁO LUẬT QUY ĐỊNH NHƯ THẾ NÀO VỀ LY THÂN?</w:t>
      </w:r>
    </w:p>
    <w:p w14:paraId="7704E7A5" w14:textId="3BAF0997" w:rsidR="00AF5882" w:rsidRPr="00EC7F80" w:rsidRDefault="00EC7F80" w:rsidP="00AF5882">
      <w:pPr>
        <w:tabs>
          <w:tab w:val="num" w:pos="360"/>
        </w:tabs>
        <w:spacing w:line="240" w:lineRule="auto"/>
        <w:ind w:left="426" w:hanging="426"/>
        <w:jc w:val="right"/>
        <w:rPr>
          <w:i/>
          <w:iCs/>
          <w:lang w:val="vi-VN"/>
        </w:rPr>
      </w:pPr>
      <w:r w:rsidRPr="00EC7F80">
        <w:rPr>
          <w:i/>
          <w:iCs/>
          <w:lang w:val="vi-VN"/>
        </w:rPr>
        <w:t>Lm. Barnaba Trần Đình Phục</w:t>
      </w:r>
    </w:p>
    <w:p w14:paraId="4CABC238" w14:textId="4EB84E53" w:rsidR="00B149ED" w:rsidRPr="00EA4A00" w:rsidRDefault="00B149ED" w:rsidP="00586607">
      <w:pPr>
        <w:spacing w:before="360" w:after="0"/>
        <w:jc w:val="both"/>
        <w:rPr>
          <w:rFonts w:ascii="Arial" w:hAnsi="Arial" w:cs="Arial"/>
          <w:b/>
          <w:bCs/>
          <w:lang w:val="vi-VN"/>
        </w:rPr>
      </w:pPr>
      <w:r w:rsidRPr="00EA4A00">
        <w:rPr>
          <w:rFonts w:ascii="Arial" w:hAnsi="Arial" w:cs="Arial"/>
          <w:b/>
          <w:bCs/>
          <w:lang w:val="vi-VN"/>
        </w:rPr>
        <w:t xml:space="preserve">Mở đầu </w:t>
      </w:r>
    </w:p>
    <w:p w14:paraId="69F11E03" w14:textId="29E9BC19" w:rsidR="00B149ED" w:rsidRDefault="00B149ED" w:rsidP="00B149ED">
      <w:pPr>
        <w:ind w:firstLine="708"/>
        <w:jc w:val="both"/>
        <w:rPr>
          <w:lang w:val="vi-VN"/>
        </w:rPr>
      </w:pPr>
      <w:r>
        <w:rPr>
          <w:lang w:val="vi-VN"/>
        </w:rPr>
        <w:t xml:space="preserve">Hôn nhân là vấn đề muôn thuở. Cưới nhau, sống chung thời gian rồi </w:t>
      </w:r>
      <w:r w:rsidR="00BF682A">
        <w:rPr>
          <w:lang w:val="vi-VN"/>
        </w:rPr>
        <w:t>ly dị</w:t>
      </w:r>
      <w:r w:rsidR="00662EF3">
        <w:rPr>
          <w:lang w:val="vi-VN"/>
        </w:rPr>
        <w:t>, đường ai nấy đi</w:t>
      </w:r>
      <w:r w:rsidR="007C0110">
        <w:rPr>
          <w:lang w:val="vi-VN"/>
        </w:rPr>
        <w:t>,</w:t>
      </w:r>
      <w:r>
        <w:rPr>
          <w:lang w:val="vi-VN"/>
        </w:rPr>
        <w:t xml:space="preserve"> đang xảy ra như cơm bữa</w:t>
      </w:r>
      <w:r w:rsidR="00B862FB">
        <w:rPr>
          <w:lang w:val="vi-VN"/>
        </w:rPr>
        <w:t xml:space="preserve"> trong xã hội hiện đại</w:t>
      </w:r>
      <w:r>
        <w:rPr>
          <w:lang w:val="vi-VN"/>
        </w:rPr>
        <w:t xml:space="preserve">. Có nhiều người vẫn còn lầm lẫn về ly dị </w:t>
      </w:r>
      <w:r w:rsidR="00894A4C" w:rsidRPr="001A5D16">
        <w:rPr>
          <w:lang w:val="vi-VN"/>
        </w:rPr>
        <w:t>T</w:t>
      </w:r>
      <w:r>
        <w:rPr>
          <w:lang w:val="vi-VN"/>
        </w:rPr>
        <w:t>òa án đời, về tháo gỡ hôn nhân Côn</w:t>
      </w:r>
      <w:r w:rsidR="00245254">
        <w:rPr>
          <w:lang w:val="vi-VN"/>
        </w:rPr>
        <w:t>g</w:t>
      </w:r>
      <w:r>
        <w:rPr>
          <w:lang w:val="vi-VN"/>
        </w:rPr>
        <w:t xml:space="preserve"> giáo hoặc </w:t>
      </w:r>
      <w:r w:rsidR="00B862FB">
        <w:rPr>
          <w:lang w:val="vi-VN"/>
        </w:rPr>
        <w:t xml:space="preserve">về </w:t>
      </w:r>
      <w:r>
        <w:rPr>
          <w:lang w:val="vi-VN"/>
        </w:rPr>
        <w:t xml:space="preserve">ly thân. </w:t>
      </w:r>
      <w:r w:rsidR="00245254">
        <w:rPr>
          <w:lang w:val="vi-VN"/>
        </w:rPr>
        <w:t xml:space="preserve">Riêng với vấn đề ly thân, Giáo luật có những quy định gì không? Và phải thực hiện như thế nào, trong trường hợp nào? </w:t>
      </w:r>
      <w:r w:rsidR="00F05993">
        <w:rPr>
          <w:lang w:val="vi-VN"/>
        </w:rPr>
        <w:t>Bởi lẽ, có người là nạn nhân của một cuộc ra đi của phối ngẫu</w:t>
      </w:r>
      <w:r w:rsidR="008B2C14">
        <w:rPr>
          <w:lang w:val="vi-VN"/>
        </w:rPr>
        <w:t xml:space="preserve"> kia</w:t>
      </w:r>
      <w:r w:rsidR="00F05993">
        <w:rPr>
          <w:lang w:val="vi-VN"/>
        </w:rPr>
        <w:t xml:space="preserve"> vì những lý do khác nhau</w:t>
      </w:r>
      <w:r w:rsidR="008B2C14">
        <w:rPr>
          <w:lang w:val="vi-VN"/>
        </w:rPr>
        <w:t xml:space="preserve">, phối ngẫu nạn nhân áy náy không biết có được phép lãnh Bí tích, nhất là Bí tích Thánh Thể hay không? </w:t>
      </w:r>
    </w:p>
    <w:p w14:paraId="412C73AD" w14:textId="7AB21668" w:rsidR="00B149ED" w:rsidRPr="00B149ED" w:rsidRDefault="00166D26" w:rsidP="00B149ED">
      <w:pPr>
        <w:ind w:firstLine="708"/>
        <w:jc w:val="both"/>
        <w:rPr>
          <w:lang w:val="vi-VN"/>
        </w:rPr>
      </w:pPr>
      <w:r>
        <w:rPr>
          <w:lang w:val="vi-VN"/>
        </w:rPr>
        <w:t xml:space="preserve">Thật vậy, </w:t>
      </w:r>
      <w:r w:rsidR="00B149ED" w:rsidRPr="00B149ED">
        <w:rPr>
          <w:lang w:val="vi-VN"/>
        </w:rPr>
        <w:t>Giáo luật không cho phép ly dị, nhưng chấp nhận ly thân với điều kiện vợ chồng gặp khó khăn trầm trọng trong đời sống chung. Thật vậy, nếu vợ chồng không thể duy trì đời sống chung, nếu một trong hai phối ngẫu có nguy hiểm nặng về tâm hồn hoặc thể xác từ phía phối ngẫu hoặc cho con cái của họ, hoặc cách thức nào đó trong đời sống vợ chồng, thì người này có quyền xin ly thân miễn là chính người này không phải là nguyên nhân gây nên khủng hoảng</w:t>
      </w:r>
      <w:r w:rsidR="00B862FB">
        <w:rPr>
          <w:lang w:val="vi-VN"/>
        </w:rPr>
        <w:t xml:space="preserve"> gia đình</w:t>
      </w:r>
      <w:r w:rsidR="00B149ED" w:rsidRPr="00B149ED">
        <w:rPr>
          <w:lang w:val="vi-VN"/>
        </w:rPr>
        <w:t xml:space="preserve">. Linh mục </w:t>
      </w:r>
      <w:r w:rsidR="00B149ED">
        <w:rPr>
          <w:lang w:val="vi-VN"/>
        </w:rPr>
        <w:t xml:space="preserve">Quản xứ </w:t>
      </w:r>
      <w:r w:rsidR="00B149ED" w:rsidRPr="00B149ED">
        <w:rPr>
          <w:lang w:val="vi-VN"/>
        </w:rPr>
        <w:t xml:space="preserve">nên khuyên </w:t>
      </w:r>
      <w:r w:rsidR="00B149ED">
        <w:rPr>
          <w:lang w:val="vi-VN"/>
        </w:rPr>
        <w:t xml:space="preserve">họ </w:t>
      </w:r>
      <w:r w:rsidR="00B149ED" w:rsidRPr="00B149ED">
        <w:rPr>
          <w:lang w:val="vi-VN"/>
        </w:rPr>
        <w:t>tha thứ cho nhau và tìm cách hàn gắn họ lại</w:t>
      </w:r>
      <w:r w:rsidR="00245254">
        <w:rPr>
          <w:lang w:val="vi-VN"/>
        </w:rPr>
        <w:t>, trước khi họ</w:t>
      </w:r>
      <w:r w:rsidR="00B9796F">
        <w:rPr>
          <w:lang w:val="vi-VN"/>
        </w:rPr>
        <w:t xml:space="preserve"> giúp họ ly thân</w:t>
      </w:r>
      <w:r w:rsidR="00245254">
        <w:rPr>
          <w:lang w:val="vi-VN"/>
        </w:rPr>
        <w:t xml:space="preserve">. </w:t>
      </w:r>
    </w:p>
    <w:p w14:paraId="3C7B5805" w14:textId="4A2934DB" w:rsidR="00EC7F80" w:rsidRPr="0000213F" w:rsidRDefault="00B149ED" w:rsidP="0000213F">
      <w:pPr>
        <w:ind w:firstLine="708"/>
        <w:jc w:val="both"/>
        <w:rPr>
          <w:color w:val="FF0000"/>
          <w:lang w:val="vi-VN"/>
        </w:rPr>
      </w:pPr>
      <w:r w:rsidRPr="00B149ED">
        <w:rPr>
          <w:lang w:val="vi-VN"/>
        </w:rPr>
        <w:t>Công Đồng Trentô</w:t>
      </w:r>
      <w:r w:rsidRPr="006E5DB7">
        <w:rPr>
          <w:rStyle w:val="Appelnotedebasdep"/>
        </w:rPr>
        <w:footnoteReference w:id="1"/>
      </w:r>
      <w:r w:rsidRPr="00B149ED">
        <w:rPr>
          <w:lang w:val="vi-VN"/>
        </w:rPr>
        <w:t xml:space="preserve"> xác định quyền của Giáo Hội: «</w:t>
      </w:r>
      <w:r w:rsidRPr="00B149ED">
        <w:rPr>
          <w:i/>
          <w:iCs/>
          <w:lang w:val="vi-VN"/>
        </w:rPr>
        <w:t>Kẻ nào nói rằng Giáo Hội sai lầm khi quyết định, vì nhiều lý do, vợ chồng được phép ly thân, không chăn gối hoặc sống chung, trong một thời gian có hạn hay vô hạn, kẻ đó phải bị trục xuất</w:t>
      </w:r>
      <w:r w:rsidRPr="00B149ED">
        <w:rPr>
          <w:lang w:val="vi-VN"/>
        </w:rPr>
        <w:t xml:space="preserve">». </w:t>
      </w:r>
      <w:r w:rsidRPr="00245254">
        <w:rPr>
          <w:lang w:val="vi-VN"/>
        </w:rPr>
        <w:t>Giáo luật quy định thủ tục để ly thân, hoặc bằng</w:t>
      </w:r>
      <w:r w:rsidR="008B2C14">
        <w:rPr>
          <w:lang w:val="vi-VN"/>
        </w:rPr>
        <w:t xml:space="preserve"> </w:t>
      </w:r>
      <w:r w:rsidR="008B2C14" w:rsidRPr="008B2C14">
        <w:rPr>
          <w:i/>
          <w:iCs/>
          <w:lang w:val="vi-VN"/>
        </w:rPr>
        <w:t>Sắc lệnh</w:t>
      </w:r>
      <w:r w:rsidRPr="00245254">
        <w:rPr>
          <w:lang w:val="vi-VN"/>
        </w:rPr>
        <w:t xml:space="preserve"> hành chánh</w:t>
      </w:r>
      <w:r w:rsidR="008B2C14">
        <w:rPr>
          <w:lang w:val="vi-VN"/>
        </w:rPr>
        <w:t xml:space="preserve"> của Đấng Bản </w:t>
      </w:r>
      <w:r w:rsidR="00D9610C" w:rsidRPr="001A5D16">
        <w:rPr>
          <w:lang w:val="vi-VN"/>
        </w:rPr>
        <w:t>Q</w:t>
      </w:r>
      <w:r w:rsidR="008B2C14">
        <w:rPr>
          <w:lang w:val="vi-VN"/>
        </w:rPr>
        <w:t>uyền</w:t>
      </w:r>
      <w:r w:rsidRPr="00245254">
        <w:rPr>
          <w:lang w:val="vi-VN"/>
        </w:rPr>
        <w:t xml:space="preserve">, hoặc bằng bản án của Tòa án </w:t>
      </w:r>
      <w:r w:rsidR="00A10779" w:rsidRPr="001A5D16">
        <w:rPr>
          <w:lang w:val="vi-VN"/>
        </w:rPr>
        <w:t>H</w:t>
      </w:r>
      <w:r w:rsidRPr="00245254">
        <w:rPr>
          <w:lang w:val="vi-VN"/>
        </w:rPr>
        <w:t>ôn phối</w:t>
      </w:r>
      <w:r w:rsidRPr="00245254">
        <w:rPr>
          <w:rStyle w:val="Appelnotedebasdep"/>
        </w:rPr>
        <w:footnoteReference w:id="2"/>
      </w:r>
      <w:r w:rsidRPr="00245254">
        <w:rPr>
          <w:lang w:val="vi-VN"/>
        </w:rPr>
        <w:t>.</w:t>
      </w:r>
      <w:r w:rsidRPr="00B149ED">
        <w:rPr>
          <w:b/>
          <w:bCs/>
          <w:lang w:val="vi-VN"/>
        </w:rPr>
        <w:t xml:space="preserve"> </w:t>
      </w:r>
      <w:r w:rsidR="0000213F" w:rsidRPr="0000213F">
        <w:rPr>
          <w:lang w:val="vi-VN"/>
        </w:rPr>
        <w:t>Trong mọi trường hợp, l</w:t>
      </w:r>
      <w:r w:rsidR="00EC7F80" w:rsidRPr="0000213F">
        <w:rPr>
          <w:lang w:val="vi-VN"/>
        </w:rPr>
        <w:t>y thân nhưng dây hôn phối vẫn còn</w:t>
      </w:r>
      <w:bookmarkEnd w:id="0"/>
      <w:bookmarkEnd w:id="1"/>
      <w:bookmarkEnd w:id="2"/>
      <w:bookmarkEnd w:id="3"/>
      <w:bookmarkEnd w:id="4"/>
      <w:bookmarkEnd w:id="5"/>
      <w:bookmarkEnd w:id="6"/>
      <w:bookmarkEnd w:id="7"/>
      <w:bookmarkEnd w:id="8"/>
      <w:bookmarkEnd w:id="9"/>
      <w:bookmarkEnd w:id="10"/>
      <w:r w:rsidR="0000213F" w:rsidRPr="0000213F">
        <w:rPr>
          <w:lang w:val="vi-VN"/>
        </w:rPr>
        <w:t>.</w:t>
      </w:r>
      <w:r w:rsidR="0000213F">
        <w:rPr>
          <w:rFonts w:asciiTheme="minorHAnsi" w:hAnsiTheme="minorHAnsi" w:cstheme="minorHAnsi"/>
          <w:b/>
          <w:bCs/>
          <w:lang w:val="vi-VN"/>
        </w:rPr>
        <w:t xml:space="preserve"> </w:t>
      </w:r>
    </w:p>
    <w:p w14:paraId="5CDDD711" w14:textId="0320AF68" w:rsidR="00EC7F80" w:rsidRPr="006D3D66" w:rsidRDefault="00EC7F80" w:rsidP="00AF5882">
      <w:pPr>
        <w:pStyle w:val="Titre2"/>
        <w:numPr>
          <w:ilvl w:val="0"/>
          <w:numId w:val="6"/>
        </w:numPr>
        <w:spacing w:before="120" w:after="120" w:line="240" w:lineRule="auto"/>
        <w:ind w:left="426" w:hanging="426"/>
        <w:rPr>
          <w:rFonts w:ascii="Arial" w:hAnsi="Arial" w:cs="Arial"/>
          <w:b/>
          <w:bCs/>
          <w:color w:val="auto"/>
          <w:sz w:val="24"/>
          <w:szCs w:val="24"/>
          <w:lang w:val="vi-VN"/>
        </w:rPr>
      </w:pPr>
      <w:bookmarkStart w:id="11" w:name="_Toc22672381"/>
      <w:bookmarkStart w:id="12" w:name="_Toc22931670"/>
      <w:bookmarkStart w:id="13" w:name="_Toc22931916"/>
      <w:bookmarkStart w:id="14" w:name="_Toc22932379"/>
      <w:bookmarkStart w:id="15" w:name="_Toc22933387"/>
      <w:bookmarkStart w:id="16" w:name="_Toc22970477"/>
      <w:bookmarkStart w:id="17" w:name="_Toc24179618"/>
      <w:bookmarkStart w:id="18" w:name="_Toc32088424"/>
      <w:bookmarkStart w:id="19" w:name="_Toc37946466"/>
      <w:bookmarkStart w:id="20" w:name="_Toc39431313"/>
      <w:bookmarkStart w:id="21" w:name="_Toc40078823"/>
      <w:r w:rsidRPr="006D3D66">
        <w:rPr>
          <w:rFonts w:ascii="Arial" w:hAnsi="Arial" w:cs="Arial"/>
          <w:b/>
          <w:bCs/>
          <w:color w:val="auto"/>
          <w:sz w:val="24"/>
          <w:szCs w:val="24"/>
          <w:lang w:val="vi-VN"/>
        </w:rPr>
        <w:t>Những nguyên nhân cho phép ly thân</w:t>
      </w:r>
      <w:bookmarkEnd w:id="11"/>
      <w:bookmarkEnd w:id="12"/>
      <w:bookmarkEnd w:id="13"/>
      <w:bookmarkEnd w:id="14"/>
      <w:bookmarkEnd w:id="15"/>
      <w:bookmarkEnd w:id="16"/>
      <w:bookmarkEnd w:id="17"/>
      <w:bookmarkEnd w:id="18"/>
      <w:bookmarkEnd w:id="19"/>
      <w:bookmarkEnd w:id="20"/>
      <w:bookmarkEnd w:id="21"/>
    </w:p>
    <w:p w14:paraId="459098B1" w14:textId="5179C869" w:rsidR="00EC7F80" w:rsidRPr="00F05993" w:rsidRDefault="00EC7F80" w:rsidP="00EC7F80">
      <w:pPr>
        <w:ind w:firstLine="708"/>
        <w:jc w:val="both"/>
        <w:rPr>
          <w:lang w:val="vi-VN"/>
        </w:rPr>
      </w:pPr>
      <w:r w:rsidRPr="00D647D5">
        <w:rPr>
          <w:lang w:val="vi-VN"/>
        </w:rPr>
        <w:t xml:space="preserve">Các điều </w:t>
      </w:r>
      <w:r w:rsidR="00F05993">
        <w:rPr>
          <w:lang w:val="vi-VN"/>
        </w:rPr>
        <w:t>luật</w:t>
      </w:r>
      <w:r w:rsidR="00D647D5">
        <w:rPr>
          <w:lang w:val="vi-VN"/>
        </w:rPr>
        <w:t xml:space="preserve"> </w:t>
      </w:r>
      <w:r w:rsidRPr="00D647D5">
        <w:rPr>
          <w:lang w:val="vi-VN"/>
        </w:rPr>
        <w:t xml:space="preserve">1151-1155 của </w:t>
      </w:r>
      <w:r w:rsidR="00F05993">
        <w:rPr>
          <w:lang w:val="vi-VN"/>
        </w:rPr>
        <w:t>BGL</w:t>
      </w:r>
      <w:r w:rsidRPr="00D647D5">
        <w:rPr>
          <w:lang w:val="vi-VN"/>
        </w:rPr>
        <w:t xml:space="preserve">/83 đề cập đến ly thân trong Giáo Hội. Theo nguyên tắc, vợ chồng có nghĩa vụ và quyền lợi duy trì cuộc sống chung của mình (đ.1151). Nhưng nghĩa vụ này sẽ bị ngưng khi cuộc sống chung trở nên nặng nề hay không thể chịu đựng được. Bởi vậy, trong trường hợp có những khó khăn quá nặng nề về đời sống chung, Giáo Hội cho phép ly thân giống như là một cách để giải quyết cho họ. Nhưng chú ý rằng Giáo Hội chấp nhận ly thân chứ không chấp nhận ly dị, bởi vì dây hôn phối vẫn còn giữa hai người một khi họ đã </w:t>
      </w:r>
      <w:r w:rsidR="00616D50">
        <w:rPr>
          <w:lang w:val="vi-VN"/>
        </w:rPr>
        <w:t>ly thân hoặc ly dị dân sự</w:t>
      </w:r>
      <w:r w:rsidRPr="00D647D5">
        <w:rPr>
          <w:lang w:val="vi-VN"/>
        </w:rPr>
        <w:t>. Quả vậy, nếu những lý do ly thân biến mất, đời sống chung của hai vợ chồng sẽ được lặp lại</w:t>
      </w:r>
      <w:r w:rsidR="00F05993">
        <w:rPr>
          <w:lang w:val="vi-VN"/>
        </w:rPr>
        <w:t xml:space="preserve">, nghĩa là họ phải chung sống đời sống vợ chồng với nhau. </w:t>
      </w:r>
    </w:p>
    <w:p w14:paraId="573E9F42" w14:textId="77777777" w:rsidR="00EC7F80" w:rsidRPr="00F05993" w:rsidRDefault="00EC7F80" w:rsidP="00EC7F80">
      <w:pPr>
        <w:ind w:firstLine="708"/>
        <w:jc w:val="both"/>
        <w:rPr>
          <w:lang w:val="vi-VN"/>
        </w:rPr>
      </w:pPr>
      <w:r w:rsidRPr="00F05993">
        <w:rPr>
          <w:lang w:val="vi-VN"/>
        </w:rPr>
        <w:t>Những nguyên nhân có thể để một trong hai phối ngẫu xin ly thân, đó là ngoại tình, gây nguy hiểm nghiêm trọng về tinh thần và thể xác cho phối ngẫu kia, và đời sống chung trở nên nặng nề, không thể sống chung được và đồng thuận ly thân</w:t>
      </w:r>
      <w:r>
        <w:rPr>
          <w:rStyle w:val="Appelnotedebasdep"/>
        </w:rPr>
        <w:footnoteReference w:id="3"/>
      </w:r>
      <w:r w:rsidRPr="00F05993">
        <w:rPr>
          <w:lang w:val="vi-VN"/>
        </w:rPr>
        <w:t>.</w:t>
      </w:r>
    </w:p>
    <w:p w14:paraId="18708277" w14:textId="77777777" w:rsidR="00EC7F80" w:rsidRPr="006D3D66" w:rsidRDefault="00EC7F80" w:rsidP="00EC7F80">
      <w:pPr>
        <w:pStyle w:val="Titre3"/>
        <w:numPr>
          <w:ilvl w:val="0"/>
          <w:numId w:val="4"/>
        </w:numPr>
        <w:tabs>
          <w:tab w:val="num" w:pos="360"/>
        </w:tabs>
        <w:spacing w:before="120" w:after="120" w:line="240" w:lineRule="auto"/>
        <w:ind w:left="992" w:hanging="425"/>
        <w:rPr>
          <w:rFonts w:ascii="Arial" w:hAnsi="Arial" w:cs="Arial"/>
          <w:b/>
          <w:bCs/>
          <w:color w:val="auto"/>
        </w:rPr>
      </w:pPr>
      <w:bookmarkStart w:id="22" w:name="_Toc22672382"/>
      <w:bookmarkStart w:id="23" w:name="_Toc22931671"/>
      <w:bookmarkStart w:id="24" w:name="_Toc22931917"/>
      <w:bookmarkStart w:id="25" w:name="_Toc22932380"/>
      <w:bookmarkStart w:id="26" w:name="_Toc22933388"/>
      <w:bookmarkStart w:id="27" w:name="_Toc22970478"/>
      <w:bookmarkStart w:id="28" w:name="_Toc24179619"/>
      <w:bookmarkStart w:id="29" w:name="_Toc32088425"/>
      <w:bookmarkStart w:id="30" w:name="_Toc37946467"/>
      <w:bookmarkStart w:id="31" w:name="_Toc39431314"/>
      <w:bookmarkStart w:id="32" w:name="_Toc40078824"/>
      <w:r w:rsidRPr="006D3D66">
        <w:rPr>
          <w:rFonts w:ascii="Arial" w:hAnsi="Arial" w:cs="Arial"/>
          <w:b/>
          <w:bCs/>
          <w:color w:val="auto"/>
        </w:rPr>
        <w:t>Ngoại tình</w:t>
      </w:r>
      <w:bookmarkEnd w:id="22"/>
      <w:bookmarkEnd w:id="23"/>
      <w:bookmarkEnd w:id="24"/>
      <w:bookmarkEnd w:id="25"/>
      <w:bookmarkEnd w:id="26"/>
      <w:bookmarkEnd w:id="27"/>
      <w:bookmarkEnd w:id="28"/>
      <w:bookmarkEnd w:id="29"/>
      <w:bookmarkEnd w:id="30"/>
      <w:bookmarkEnd w:id="31"/>
      <w:bookmarkEnd w:id="32"/>
      <w:r w:rsidRPr="006D3D66">
        <w:rPr>
          <w:rFonts w:ascii="Arial" w:hAnsi="Arial" w:cs="Arial"/>
          <w:b/>
          <w:bCs/>
          <w:color w:val="auto"/>
        </w:rPr>
        <w:t xml:space="preserve"> </w:t>
      </w:r>
    </w:p>
    <w:p w14:paraId="2F49E0C1" w14:textId="77777777" w:rsidR="00EC7F80" w:rsidRPr="006E5DB7" w:rsidRDefault="00EC7F80" w:rsidP="00EC7F80">
      <w:pPr>
        <w:ind w:firstLine="708"/>
        <w:jc w:val="both"/>
      </w:pPr>
      <w:r w:rsidRPr="006E5DB7">
        <w:t xml:space="preserve">Nếu phối ngẫu bị phản bội </w:t>
      </w:r>
      <w:r>
        <w:t xml:space="preserve">do ngoại tình </w:t>
      </w:r>
      <w:r w:rsidRPr="006E5DB7">
        <w:t xml:space="preserve">có quyền cắt đứt cuộc sống chung. </w:t>
      </w:r>
      <w:r>
        <w:t>Sự</w:t>
      </w:r>
      <w:r w:rsidRPr="006E5DB7">
        <w:t xml:space="preserve"> thường luật kêu gọi phối ngẫu bị phản bội tha thứ cho phối ngẫu phạm tội để duy trì cuộc sống chung. Tuy nhiên, luật cũng chấp nhận một biện pháp để bảo vệ nạn nhân. Nếu phối ngẫu bị phản bội đồng thuận với việc ngoại tình, hoặc là nguyên nhân gây ra ngoại tình, hoặc tệ hơn chính họ </w:t>
      </w:r>
      <w:r w:rsidRPr="006E5DB7">
        <w:lastRenderedPageBreak/>
        <w:t xml:space="preserve">cũng ngoại tình thì họ sẽ mất </w:t>
      </w:r>
      <w:r>
        <w:t xml:space="preserve">đi </w:t>
      </w:r>
      <w:r w:rsidRPr="006E5DB7">
        <w:t>quyền này. Phối ngẫu vô tội tha thứ lỗi lầm cách tỏ tường hay ám tàng được xem như là họ từ chối quyền ly thân</w:t>
      </w:r>
      <w:r>
        <w:rPr>
          <w:rStyle w:val="Appelnotedebasdep"/>
        </w:rPr>
        <w:footnoteReference w:id="4"/>
      </w:r>
      <w:r w:rsidRPr="006E5DB7">
        <w:t xml:space="preserve">. </w:t>
      </w:r>
    </w:p>
    <w:p w14:paraId="40401791" w14:textId="028FD156" w:rsidR="00EC7F80" w:rsidRPr="006E5DB7" w:rsidRDefault="00EC7F80" w:rsidP="00EC7F80">
      <w:pPr>
        <w:ind w:firstLine="708"/>
        <w:jc w:val="both"/>
      </w:pPr>
      <w:r w:rsidRPr="006E5DB7">
        <w:t xml:space="preserve">Mặt khác, </w:t>
      </w:r>
      <w:r w:rsidRPr="00F05993">
        <w:t>việc tha thứ ám tàng khi phối ngẫu vô tội vẫn tiếp tục chấp nhận sống chung với phối ngẫu của mình sau khi biết rằng phối ngẫu ngoại tình.</w:t>
      </w:r>
      <w:r w:rsidRPr="006E5DB7">
        <w:t xml:space="preserve"> Hơn nữa, sự tha thứ là phỏng đoán, khi phối ngẫu vô tội, trong vòng </w:t>
      </w:r>
      <w:r>
        <w:t xml:space="preserve">sáu </w:t>
      </w:r>
      <w:r w:rsidRPr="006E5DB7">
        <w:t xml:space="preserve">tháng, sau khi phát giác việc ngoại tình, nhưng vẫn duy trì cuộc sống và không cần sự can thiệp </w:t>
      </w:r>
      <w:r w:rsidR="00F05993">
        <w:rPr>
          <w:lang w:val="vi-VN"/>
        </w:rPr>
        <w:t xml:space="preserve">vào </w:t>
      </w:r>
      <w:r w:rsidRPr="006E5DB7">
        <w:t xml:space="preserve">của Giáo Hội. </w:t>
      </w:r>
    </w:p>
    <w:p w14:paraId="75D4EC24" w14:textId="0F448B42" w:rsidR="00EC7F80" w:rsidRPr="006E5DB7" w:rsidRDefault="00EC7F80" w:rsidP="00EC7F80">
      <w:pPr>
        <w:ind w:firstLine="708"/>
        <w:jc w:val="both"/>
      </w:pPr>
      <w:r w:rsidRPr="006E5DB7">
        <w:t xml:space="preserve">Liên quan đến thủ tục xin ly thân, nếu phối ngẫu vô tội đã cắt đứt cuộc sống chung vợ chồng hay thượng cầu trong vòng </w:t>
      </w:r>
      <w:r>
        <w:t>sáu</w:t>
      </w:r>
      <w:r w:rsidRPr="006E5DB7">
        <w:t xml:space="preserve"> tháng với thẩm quyền dân sự, </w:t>
      </w:r>
      <w:r w:rsidRPr="00F05993">
        <w:t>họ buộc phải thượng cầu với thẩm quyền Giáo Hội trong vòng sáu tháng đó</w:t>
      </w:r>
      <w:r w:rsidRPr="006E5DB7">
        <w:t xml:space="preserve">. Bản </w:t>
      </w:r>
      <w:r w:rsidR="00D9610C">
        <w:t>Q</w:t>
      </w:r>
      <w:r w:rsidRPr="006E5DB7">
        <w:t xml:space="preserve">uyền </w:t>
      </w:r>
      <w:r w:rsidR="00D9610C">
        <w:t>đ</w:t>
      </w:r>
      <w:r w:rsidRPr="006E5DB7">
        <w:t xml:space="preserve">ịa phương sẽ xem xét vấn đề, hoàn cảnh, và hy vọng sẽ khuyên nhủ phối ngẫu vô tội tha thứ cho phối ngẫu kia và đừng đòi ly thân nữa. Mặt khác, Bản </w:t>
      </w:r>
      <w:r w:rsidR="00D9610C">
        <w:t>Q</w:t>
      </w:r>
      <w:r w:rsidRPr="006E5DB7">
        <w:t xml:space="preserve">uyền </w:t>
      </w:r>
      <w:r w:rsidR="00D9610C">
        <w:t>đ</w:t>
      </w:r>
      <w:r w:rsidRPr="006E5DB7">
        <w:t xml:space="preserve">ịa phương sẽ tuyên bố ly thân vĩnh viễn theo nghĩa là phối ngẫu có tội mất quyền tái lập đời sống hôn nhân. Tuy nhiên, phối ngẫu vô tội có thể tái lập đời sống chung. </w:t>
      </w:r>
    </w:p>
    <w:p w14:paraId="04741273" w14:textId="77777777" w:rsidR="00EC7F80" w:rsidRPr="006D3D66" w:rsidRDefault="00EC7F80" w:rsidP="00EC7F80">
      <w:pPr>
        <w:pStyle w:val="Titre3"/>
        <w:numPr>
          <w:ilvl w:val="0"/>
          <w:numId w:val="4"/>
        </w:numPr>
        <w:tabs>
          <w:tab w:val="num" w:pos="360"/>
        </w:tabs>
        <w:spacing w:before="120" w:after="120" w:line="240" w:lineRule="auto"/>
        <w:ind w:left="992" w:hanging="425"/>
        <w:rPr>
          <w:rFonts w:ascii="Arial" w:hAnsi="Arial" w:cs="Arial"/>
          <w:b/>
          <w:bCs/>
          <w:color w:val="auto"/>
        </w:rPr>
      </w:pPr>
      <w:r w:rsidRPr="006D3D66">
        <w:rPr>
          <w:rFonts w:ascii="Arial" w:hAnsi="Arial" w:cs="Arial"/>
          <w:b/>
          <w:bCs/>
          <w:color w:val="auto"/>
        </w:rPr>
        <w:t xml:space="preserve"> </w:t>
      </w:r>
      <w:bookmarkStart w:id="33" w:name="_Toc22672383"/>
      <w:bookmarkStart w:id="34" w:name="_Toc22931672"/>
      <w:bookmarkStart w:id="35" w:name="_Toc22931918"/>
      <w:bookmarkStart w:id="36" w:name="_Toc22932381"/>
      <w:bookmarkStart w:id="37" w:name="_Toc22933389"/>
      <w:bookmarkStart w:id="38" w:name="_Toc22970479"/>
      <w:bookmarkStart w:id="39" w:name="_Toc24179620"/>
      <w:bookmarkStart w:id="40" w:name="_Toc32088426"/>
      <w:bookmarkStart w:id="41" w:name="_Toc37946468"/>
      <w:bookmarkStart w:id="42" w:name="_Toc39431315"/>
      <w:bookmarkStart w:id="43" w:name="_Toc40078825"/>
      <w:r w:rsidRPr="006D3D66">
        <w:rPr>
          <w:rFonts w:ascii="Arial" w:hAnsi="Arial" w:cs="Arial"/>
          <w:b/>
          <w:bCs/>
          <w:color w:val="auto"/>
        </w:rPr>
        <w:t>Cư xử xúc phạm đến phối ngẫu</w:t>
      </w:r>
      <w:bookmarkEnd w:id="33"/>
      <w:bookmarkEnd w:id="34"/>
      <w:bookmarkEnd w:id="35"/>
      <w:bookmarkEnd w:id="36"/>
      <w:bookmarkEnd w:id="37"/>
      <w:bookmarkEnd w:id="38"/>
      <w:bookmarkEnd w:id="39"/>
      <w:bookmarkEnd w:id="40"/>
      <w:bookmarkEnd w:id="41"/>
      <w:bookmarkEnd w:id="42"/>
      <w:bookmarkEnd w:id="43"/>
    </w:p>
    <w:p w14:paraId="73F47282" w14:textId="63FFC3BD" w:rsidR="00EC7F80" w:rsidRPr="006E5DB7" w:rsidRDefault="008B2C14" w:rsidP="00FF7F06">
      <w:pPr>
        <w:spacing w:before="0" w:after="0"/>
      </w:pPr>
      <w:r>
        <w:rPr>
          <w:lang w:val="vi-VN"/>
        </w:rPr>
        <w:t>BGL</w:t>
      </w:r>
      <w:r w:rsidR="00EC7F80">
        <w:t>/83, đ.</w:t>
      </w:r>
      <w:r w:rsidR="00EC7F80" w:rsidRPr="006E5DB7">
        <w:t xml:space="preserve">1153 §1 quy định: </w:t>
      </w:r>
    </w:p>
    <w:p w14:paraId="03D9CFEE" w14:textId="77777777" w:rsidR="00EC7F80" w:rsidRPr="006E5DB7" w:rsidRDefault="00EC7F80" w:rsidP="00FF7F06">
      <w:pPr>
        <w:spacing w:before="0" w:line="240" w:lineRule="auto"/>
        <w:ind w:left="567" w:right="567"/>
        <w:jc w:val="both"/>
        <w:rPr>
          <w:color w:val="FF0000"/>
        </w:rPr>
      </w:pPr>
      <w:r w:rsidRPr="006E5DB7">
        <w:t>«</w:t>
      </w:r>
      <w:r w:rsidRPr="006E5DB7">
        <w:rPr>
          <w:i/>
          <w:iCs/>
        </w:rPr>
        <w:t xml:space="preserve">Nếu một trong hai người phối ngẫu gây nguy hiểm nghiêm trọng về tinh thần hay thể xác cho bên kia hoặc cho con cái, hay nếu bằng cách nào khác cho đời sống chung trở nên nặng nề, thì bên nọ tạo cho bên kia một lý do hợp pháp để ly thân, hoặc là do một sắc lệnh của Đấng Bản Quyền địa phương, hoặc là </w:t>
      </w:r>
      <w:r w:rsidRPr="006E5DB7">
        <w:rPr>
          <w:b/>
          <w:bCs/>
          <w:i/>
          <w:iCs/>
        </w:rPr>
        <w:t>do quyền riêng của mình, nếu có nguy cơ phải chờ đợi</w:t>
      </w:r>
      <w:r w:rsidRPr="006E5DB7">
        <w:t>».</w:t>
      </w:r>
    </w:p>
    <w:p w14:paraId="560A83C0" w14:textId="77777777" w:rsidR="00EC7F80" w:rsidRPr="006E5DB7" w:rsidRDefault="00EC7F80" w:rsidP="00EC7F80">
      <w:pPr>
        <w:ind w:firstLine="708"/>
        <w:jc w:val="both"/>
      </w:pPr>
      <w:r w:rsidRPr="006E5DB7">
        <w:t>Theo đ</w:t>
      </w:r>
      <w:r>
        <w:t>.</w:t>
      </w:r>
      <w:r w:rsidRPr="006E5DB7">
        <w:t>1153 §1, khi một phối ngẫu gây nguy hiểm trầm trọng về tinh thần hoặc thể xác cho người kia hoặc cho con cái, hoặc bằng cách nào đó làm cho cuộc sống chung trở nên nặng nề</w:t>
      </w:r>
      <w:r>
        <w:t>, p</w:t>
      </w:r>
      <w:r w:rsidRPr="006E5DB7">
        <w:t xml:space="preserve">hối ngẫu vô tội có thể ly thân bằng cách xin Bản Quyền địa phương, hoặc thẩm quyền riêng nếu khó khăn để liên lạc với Đấng Bản Quyền để xin sắc lệnh. Trong </w:t>
      </w:r>
      <w:r>
        <w:t xml:space="preserve">tất cả </w:t>
      </w:r>
      <w:r w:rsidRPr="006E5DB7">
        <w:t xml:space="preserve">mọi trường hợp, khi không còn lý do để ly thân, đôi phối ngẫu phải tái lập cuộc sống chung vợ chồng, trừ khi Đấng Bản Quyền </w:t>
      </w:r>
      <w:r>
        <w:t>ấn</w:t>
      </w:r>
      <w:r w:rsidRPr="006E5DB7">
        <w:t xml:space="preserve"> định</w:t>
      </w:r>
      <w:r>
        <w:t xml:space="preserve"> một </w:t>
      </w:r>
      <w:r w:rsidRPr="006E5DB7">
        <w:t>cách khác</w:t>
      </w:r>
      <w:r>
        <w:rPr>
          <w:rStyle w:val="Appelnotedebasdep"/>
        </w:rPr>
        <w:footnoteReference w:id="5"/>
      </w:r>
      <w:r w:rsidRPr="006E5DB7">
        <w:t>.</w:t>
      </w:r>
    </w:p>
    <w:p w14:paraId="6C6D2F9E" w14:textId="6183B4D0" w:rsidR="00EC7F80" w:rsidRPr="006D3D66" w:rsidRDefault="00EC7F80" w:rsidP="00AF5882">
      <w:pPr>
        <w:pStyle w:val="Titre2"/>
        <w:numPr>
          <w:ilvl w:val="0"/>
          <w:numId w:val="6"/>
        </w:numPr>
        <w:spacing w:before="120" w:after="120" w:line="240" w:lineRule="auto"/>
        <w:ind w:left="426" w:hanging="426"/>
        <w:rPr>
          <w:rFonts w:ascii="Arial" w:hAnsi="Arial" w:cs="Arial"/>
          <w:b/>
          <w:bCs/>
          <w:color w:val="auto"/>
          <w:sz w:val="24"/>
          <w:szCs w:val="24"/>
        </w:rPr>
      </w:pPr>
      <w:bookmarkStart w:id="44" w:name="_Toc22672384"/>
      <w:bookmarkStart w:id="45" w:name="_Toc22931673"/>
      <w:bookmarkStart w:id="46" w:name="_Toc22931919"/>
      <w:bookmarkStart w:id="47" w:name="_Toc22932382"/>
      <w:bookmarkStart w:id="48" w:name="_Toc22933390"/>
      <w:bookmarkStart w:id="49" w:name="_Toc22970480"/>
      <w:bookmarkStart w:id="50" w:name="_Toc24179621"/>
      <w:bookmarkStart w:id="51" w:name="_Toc32088427"/>
      <w:r w:rsidRPr="006D3D66">
        <w:rPr>
          <w:rFonts w:ascii="Arial" w:hAnsi="Arial" w:cs="Arial"/>
          <w:b/>
          <w:bCs/>
          <w:color w:val="auto"/>
          <w:sz w:val="24"/>
          <w:szCs w:val="24"/>
        </w:rPr>
        <w:t xml:space="preserve"> </w:t>
      </w:r>
      <w:bookmarkStart w:id="52" w:name="_Toc37946469"/>
      <w:bookmarkStart w:id="53" w:name="_Toc39431316"/>
      <w:bookmarkStart w:id="54" w:name="_Toc40078826"/>
      <w:r w:rsidRPr="006D3D66">
        <w:rPr>
          <w:rFonts w:ascii="Arial" w:hAnsi="Arial" w:cs="Arial"/>
          <w:b/>
          <w:bCs/>
          <w:color w:val="auto"/>
          <w:sz w:val="24"/>
          <w:szCs w:val="24"/>
        </w:rPr>
        <w:t xml:space="preserve">Ly thân trong Giáo Hội và ly dị </w:t>
      </w:r>
      <w:r w:rsidR="008B2C14" w:rsidRPr="006D3D66">
        <w:rPr>
          <w:rFonts w:ascii="Arial" w:hAnsi="Arial" w:cs="Arial"/>
          <w:b/>
          <w:bCs/>
          <w:color w:val="auto"/>
          <w:sz w:val="24"/>
          <w:szCs w:val="24"/>
          <w:lang w:val="vi-VN"/>
        </w:rPr>
        <w:t>ở T</w:t>
      </w:r>
      <w:r w:rsidRPr="006D3D66">
        <w:rPr>
          <w:rFonts w:ascii="Arial" w:hAnsi="Arial" w:cs="Arial"/>
          <w:b/>
          <w:bCs/>
          <w:color w:val="auto"/>
          <w:sz w:val="24"/>
          <w:szCs w:val="24"/>
        </w:rPr>
        <w:t>òa án đời</w:t>
      </w:r>
      <w:bookmarkEnd w:id="44"/>
      <w:bookmarkEnd w:id="45"/>
      <w:bookmarkEnd w:id="46"/>
      <w:bookmarkEnd w:id="47"/>
      <w:bookmarkEnd w:id="48"/>
      <w:bookmarkEnd w:id="49"/>
      <w:bookmarkEnd w:id="50"/>
      <w:bookmarkEnd w:id="51"/>
      <w:bookmarkEnd w:id="52"/>
      <w:bookmarkEnd w:id="53"/>
      <w:bookmarkEnd w:id="54"/>
    </w:p>
    <w:p w14:paraId="33C8BC8E" w14:textId="77777777" w:rsidR="00EC7F80" w:rsidRPr="006D3D66" w:rsidRDefault="00EC7F80" w:rsidP="00EC7F80">
      <w:pPr>
        <w:pStyle w:val="Titre3"/>
        <w:numPr>
          <w:ilvl w:val="0"/>
          <w:numId w:val="5"/>
        </w:numPr>
        <w:tabs>
          <w:tab w:val="num" w:pos="360"/>
        </w:tabs>
        <w:spacing w:before="120" w:after="120" w:line="240" w:lineRule="auto"/>
        <w:ind w:left="993" w:hanging="426"/>
        <w:rPr>
          <w:rFonts w:ascii="Arial" w:hAnsi="Arial" w:cs="Arial"/>
          <w:b/>
          <w:bCs/>
          <w:color w:val="auto"/>
        </w:rPr>
      </w:pPr>
      <w:bookmarkStart w:id="55" w:name="_Toc22672385"/>
      <w:bookmarkStart w:id="56" w:name="_Toc22931674"/>
      <w:bookmarkStart w:id="57" w:name="_Toc22931920"/>
      <w:bookmarkStart w:id="58" w:name="_Toc22932383"/>
      <w:bookmarkStart w:id="59" w:name="_Toc22933391"/>
      <w:bookmarkStart w:id="60" w:name="_Toc22970481"/>
      <w:bookmarkStart w:id="61" w:name="_Toc24179622"/>
      <w:bookmarkStart w:id="62" w:name="_Toc32088428"/>
      <w:bookmarkStart w:id="63" w:name="_Toc37946470"/>
      <w:bookmarkStart w:id="64" w:name="_Toc39431317"/>
      <w:bookmarkStart w:id="65" w:name="_Toc40078827"/>
      <w:r w:rsidRPr="006D3D66">
        <w:rPr>
          <w:rFonts w:ascii="Arial" w:hAnsi="Arial" w:cs="Arial"/>
          <w:b/>
          <w:bCs/>
          <w:color w:val="auto"/>
        </w:rPr>
        <w:t>Kitô hữu được phép ly dị giống như luật dân sự?</w:t>
      </w:r>
      <w:bookmarkEnd w:id="55"/>
      <w:bookmarkEnd w:id="56"/>
      <w:bookmarkEnd w:id="57"/>
      <w:bookmarkEnd w:id="58"/>
      <w:bookmarkEnd w:id="59"/>
      <w:bookmarkEnd w:id="60"/>
      <w:bookmarkEnd w:id="61"/>
      <w:bookmarkEnd w:id="62"/>
      <w:bookmarkEnd w:id="63"/>
      <w:bookmarkEnd w:id="64"/>
      <w:bookmarkEnd w:id="65"/>
      <w:r w:rsidRPr="006D3D66">
        <w:rPr>
          <w:rFonts w:ascii="Arial" w:hAnsi="Arial" w:cs="Arial"/>
          <w:b/>
          <w:bCs/>
          <w:color w:val="auto"/>
        </w:rPr>
        <w:t xml:space="preserve"> </w:t>
      </w:r>
    </w:p>
    <w:p w14:paraId="36F66CAD" w14:textId="50AFA696" w:rsidR="00EC7F80" w:rsidRPr="006E5DB7" w:rsidRDefault="00EC7F80" w:rsidP="00EC7F80">
      <w:pPr>
        <w:ind w:firstLine="708"/>
        <w:jc w:val="both"/>
      </w:pPr>
      <w:r w:rsidRPr="006E5DB7">
        <w:t xml:space="preserve">Về phương diện quyền lợi công dân, Kitô hữu có thể </w:t>
      </w:r>
      <w:r>
        <w:t xml:space="preserve">được </w:t>
      </w:r>
      <w:r w:rsidRPr="006E5DB7">
        <w:t xml:space="preserve">hưởng quyền ly dị, nhưng đừng quên rằng đó chỉ là giải pháp bất đắc dĩ và không được tái giá. </w:t>
      </w:r>
      <w:r w:rsidRPr="00443E95">
        <w:t>Cho nên, hiểu ly dị ở đây giống như ly thân nhưng dây hôn phối vẫn còn.</w:t>
      </w:r>
      <w:r w:rsidRPr="006E5DB7">
        <w:t xml:space="preserve"> Mặt khác, Kitô hữu không nên lợi dụng luật đó, để tránh gương mù gương xấu và trái với tinh thần Kitô giáo. Dó đó, trên phạm vi thực hành, Giáo Hội đưa ra mấy nguyên tắc</w:t>
      </w:r>
      <w:r w:rsidR="00443E95">
        <w:rPr>
          <w:lang w:val="vi-VN"/>
        </w:rPr>
        <w:t xml:space="preserve"> sau đây</w:t>
      </w:r>
      <w:r w:rsidRPr="006E5DB7">
        <w:rPr>
          <w:rStyle w:val="Appelnotedebasdep"/>
        </w:rPr>
        <w:footnoteReference w:id="6"/>
      </w:r>
      <w:r w:rsidRPr="006E5DB7">
        <w:t>:</w:t>
      </w:r>
    </w:p>
    <w:p w14:paraId="26B40191" w14:textId="77777777" w:rsidR="00EC7F80" w:rsidRDefault="00EC7F80" w:rsidP="00EC7F80">
      <w:pPr>
        <w:pStyle w:val="Paragraphedeliste"/>
        <w:numPr>
          <w:ilvl w:val="0"/>
          <w:numId w:val="1"/>
        </w:numPr>
        <w:ind w:left="284" w:hanging="284"/>
        <w:contextualSpacing w:val="0"/>
        <w:jc w:val="both"/>
      </w:pPr>
      <w:r w:rsidRPr="006E5DB7">
        <w:t>Không được ly dị với hậu ý tái hôn.</w:t>
      </w:r>
    </w:p>
    <w:p w14:paraId="62ACCD8C" w14:textId="77777777" w:rsidR="00EC7F80" w:rsidRDefault="00EC7F80" w:rsidP="00EC7F80">
      <w:pPr>
        <w:pStyle w:val="Paragraphedeliste"/>
        <w:numPr>
          <w:ilvl w:val="0"/>
          <w:numId w:val="1"/>
        </w:numPr>
        <w:ind w:left="284" w:hanging="284"/>
        <w:contextualSpacing w:val="0"/>
        <w:jc w:val="both"/>
      </w:pPr>
      <w:r w:rsidRPr="006E5DB7">
        <w:t>Trong những trường hợp hôn nhân bất thành, được xin ly dị vì đó chỉ là hợp thức hóa, được pháp lý công nhận, tình trạng hôn nhân trước là vô hiệu.</w:t>
      </w:r>
    </w:p>
    <w:p w14:paraId="1A5664B4" w14:textId="77777777" w:rsidR="00EC7F80" w:rsidRDefault="00EC7F80" w:rsidP="00EC7F80">
      <w:pPr>
        <w:pStyle w:val="Paragraphedeliste"/>
        <w:numPr>
          <w:ilvl w:val="0"/>
          <w:numId w:val="1"/>
        </w:numPr>
        <w:ind w:left="284" w:hanging="284"/>
        <w:contextualSpacing w:val="0"/>
        <w:jc w:val="both"/>
      </w:pPr>
      <w:r w:rsidRPr="006E5DB7">
        <w:t>Trong những quốc gia không có luật ly thân, nếu vì một lý do quan trọng thuộc hậu quả dân chính mà xin ly dị thì phải thỉnh cầu Thẩm quyền Giáo Hội trước khi ly dị.</w:t>
      </w:r>
    </w:p>
    <w:p w14:paraId="7F6215FE" w14:textId="77777777" w:rsidR="00EC7F80" w:rsidRDefault="00EC7F80" w:rsidP="00EC7F80">
      <w:pPr>
        <w:pStyle w:val="Paragraphedeliste"/>
        <w:numPr>
          <w:ilvl w:val="0"/>
          <w:numId w:val="1"/>
        </w:numPr>
        <w:ind w:left="284" w:hanging="284"/>
        <w:contextualSpacing w:val="0"/>
        <w:jc w:val="both"/>
      </w:pPr>
      <w:r w:rsidRPr="006E5DB7">
        <w:t>Ở những nơi có luật ly thân, chẳng hạn, nước Pháp, vì lý do dân chính, thì chỉ được xin ly thân, chứ không được ly dị.</w:t>
      </w:r>
    </w:p>
    <w:p w14:paraId="70F2B1D9" w14:textId="77777777" w:rsidR="00EC7F80" w:rsidRPr="006E5DB7" w:rsidRDefault="00EC7F80" w:rsidP="00EC7F80">
      <w:pPr>
        <w:pStyle w:val="Paragraphedeliste"/>
        <w:numPr>
          <w:ilvl w:val="0"/>
          <w:numId w:val="1"/>
        </w:numPr>
        <w:ind w:left="284" w:hanging="284"/>
        <w:contextualSpacing w:val="0"/>
        <w:jc w:val="both"/>
      </w:pPr>
      <w:r w:rsidRPr="006E5DB7">
        <w:lastRenderedPageBreak/>
        <w:t xml:space="preserve">Người không xin ly dị được phép đâm đơn kháng cáo bên xin ly dị. </w:t>
      </w:r>
    </w:p>
    <w:p w14:paraId="299DC659" w14:textId="1FA53B5E" w:rsidR="00EC7F80" w:rsidRPr="006E5DB7" w:rsidRDefault="00EC7F80" w:rsidP="00EC7F80">
      <w:pPr>
        <w:ind w:firstLine="708"/>
        <w:jc w:val="both"/>
      </w:pPr>
      <w:r w:rsidRPr="006E5DB7">
        <w:t xml:space="preserve">Riêng tại Việt Nam, quyết định của nhà chức trách Giáo Hội không có hiệu lực dân sự, </w:t>
      </w:r>
      <w:r>
        <w:t xml:space="preserve">bởi vậy, </w:t>
      </w:r>
      <w:r w:rsidRPr="006E5DB7">
        <w:t xml:space="preserve">Giám mục Giáo phận khi ra sắc lệnh cho phép ly thân </w:t>
      </w:r>
      <w:r>
        <w:t xml:space="preserve">thì </w:t>
      </w:r>
      <w:r w:rsidRPr="006E5DB7">
        <w:t xml:space="preserve">cũng có thể cân nhắc để cho phép đưa vụ ly thân ra </w:t>
      </w:r>
      <w:r w:rsidR="00CE4007">
        <w:t>T</w:t>
      </w:r>
      <w:r w:rsidRPr="006E5DB7">
        <w:t>òa án dân sự</w:t>
      </w:r>
      <w:r>
        <w:rPr>
          <w:rStyle w:val="Appelnotedebasdep"/>
        </w:rPr>
        <w:footnoteReference w:id="7"/>
      </w:r>
      <w:r w:rsidRPr="006E5DB7">
        <w:t xml:space="preserve">. </w:t>
      </w:r>
      <w:r w:rsidR="00443E95">
        <w:rPr>
          <w:lang w:val="vi-VN"/>
        </w:rPr>
        <w:t>Việc</w:t>
      </w:r>
      <w:r w:rsidRPr="006E5DB7">
        <w:t xml:space="preserve"> cho phép này </w:t>
      </w:r>
      <w:r>
        <w:t xml:space="preserve">vừa là </w:t>
      </w:r>
      <w:r w:rsidRPr="006E5DB7">
        <w:t xml:space="preserve">hợp pháp </w:t>
      </w:r>
      <w:r>
        <w:t>vừa</w:t>
      </w:r>
      <w:r w:rsidRPr="006E5DB7">
        <w:t xml:space="preserve"> là vấn đề mục vụ cần phải làm để b</w:t>
      </w:r>
      <w:r>
        <w:t>ảo bảo lợi ích</w:t>
      </w:r>
      <w:r w:rsidRPr="006E5DB7">
        <w:t xml:space="preserve"> cho nạn nhân. </w:t>
      </w:r>
    </w:p>
    <w:p w14:paraId="24CF0931" w14:textId="16F07583" w:rsidR="00EC7F80" w:rsidRPr="006E5DB7" w:rsidRDefault="00EC7F80" w:rsidP="00EC7F80">
      <w:pPr>
        <w:ind w:firstLine="708"/>
        <w:jc w:val="both"/>
      </w:pPr>
      <w:r w:rsidRPr="006E5DB7">
        <w:t xml:space="preserve">Do đó, </w:t>
      </w:r>
      <w:r>
        <w:t>một khi phía</w:t>
      </w:r>
      <w:r w:rsidR="00D21C31">
        <w:t xml:space="preserve"> phối</w:t>
      </w:r>
      <w:r>
        <w:t xml:space="preserve"> ngẫu</w:t>
      </w:r>
      <w:r w:rsidRPr="006E5DB7">
        <w:t xml:space="preserve"> có lý do hợp pháp để ly thân</w:t>
      </w:r>
      <w:r>
        <w:rPr>
          <w:rStyle w:val="Appelnotedebasdep"/>
        </w:rPr>
        <w:footnoteReference w:id="8"/>
      </w:r>
      <w:r w:rsidRPr="006E5DB7">
        <w:t xml:space="preserve">, Giám mục Giáo phận nên cho phép đưa vụ ly thân ra </w:t>
      </w:r>
      <w:r w:rsidR="00CE4007">
        <w:t>T</w:t>
      </w:r>
      <w:r w:rsidRPr="006E5DB7">
        <w:t xml:space="preserve">òa án dân sự, </w:t>
      </w:r>
      <w:r>
        <w:t>qua</w:t>
      </w:r>
      <w:r w:rsidRPr="006E5DB7">
        <w:t xml:space="preserve"> một sắc lệnh</w:t>
      </w:r>
      <w:r>
        <w:rPr>
          <w:rStyle w:val="Appelnotedebasdep"/>
        </w:rPr>
        <w:footnoteReference w:id="9"/>
      </w:r>
      <w:r w:rsidRPr="006E5DB7">
        <w:t xml:space="preserve">. </w:t>
      </w:r>
      <w:r>
        <w:t xml:space="preserve">Từ đó, </w:t>
      </w:r>
      <w:r w:rsidRPr="006E5DB7">
        <w:t xml:space="preserve">Tòa án dân sự sẽ tuyên bố </w:t>
      </w:r>
      <w:r>
        <w:t xml:space="preserve">ly hôn </w:t>
      </w:r>
      <w:r w:rsidRPr="006E5DB7">
        <w:t>và xét xử việc phân chia tài sản</w:t>
      </w:r>
      <w:r>
        <w:t xml:space="preserve">, cũng như </w:t>
      </w:r>
      <w:r w:rsidRPr="006E5DB7">
        <w:t xml:space="preserve">nuôi dưỡng con cái. Nhờ đó, bên </w:t>
      </w:r>
      <w:r>
        <w:t>phối ngẫu vô tội</w:t>
      </w:r>
      <w:r w:rsidRPr="006E5DB7">
        <w:t xml:space="preserve"> được bảo vệ. </w:t>
      </w:r>
      <w:r>
        <w:t xml:space="preserve">Hơn nữa, về vụ án ly thân, </w:t>
      </w:r>
      <w:r w:rsidRPr="006E5DB7">
        <w:t>Đấng Bản Quyền đ</w:t>
      </w:r>
      <w:r>
        <w:t>ịa</w:t>
      </w:r>
      <w:r w:rsidRPr="006E5DB7">
        <w:t xml:space="preserve"> phương cũng có thể trao cho </w:t>
      </w:r>
      <w:r>
        <w:t>T</w:t>
      </w:r>
      <w:r w:rsidRPr="006E5DB7">
        <w:t>òa án Giáo phận xét xử</w:t>
      </w:r>
      <w:r>
        <w:t xml:space="preserve">. Quá trình xét xử </w:t>
      </w:r>
      <w:r w:rsidRPr="006E5DB7">
        <w:t xml:space="preserve">được </w:t>
      </w:r>
      <w:r>
        <w:t>kết thúc</w:t>
      </w:r>
      <w:r w:rsidRPr="006E5DB7">
        <w:t xml:space="preserve"> bằng một bản án</w:t>
      </w:r>
      <w:r>
        <w:rPr>
          <w:rStyle w:val="Appelnotedebasdep"/>
        </w:rPr>
        <w:footnoteReference w:id="10"/>
      </w:r>
      <w:r w:rsidRPr="006E5DB7">
        <w:t xml:space="preserve"> và </w:t>
      </w:r>
      <w:r>
        <w:t xml:space="preserve">nếu thấy khẩn thiết, </w:t>
      </w:r>
      <w:r w:rsidRPr="006E5DB7">
        <w:t xml:space="preserve">Tòa án Giáo phận có thể quyết định cho phép họ đưa vụ ly thân ra </w:t>
      </w:r>
      <w:r w:rsidR="00CE4007">
        <w:t>T</w:t>
      </w:r>
      <w:r w:rsidRPr="006E5DB7">
        <w:t>òa án dân sự</w:t>
      </w:r>
      <w:r w:rsidRPr="006E5DB7">
        <w:rPr>
          <w:rStyle w:val="Appelnotedebasdep"/>
        </w:rPr>
        <w:footnoteReference w:id="11"/>
      </w:r>
      <w:r w:rsidRPr="006E5DB7">
        <w:t xml:space="preserve">. </w:t>
      </w:r>
    </w:p>
    <w:p w14:paraId="35A073DE" w14:textId="17A74FB2" w:rsidR="00EC7F80" w:rsidRPr="006D3D66" w:rsidRDefault="00EC7F80" w:rsidP="00EC7F80">
      <w:pPr>
        <w:pStyle w:val="Titre3"/>
        <w:numPr>
          <w:ilvl w:val="0"/>
          <w:numId w:val="5"/>
        </w:numPr>
        <w:tabs>
          <w:tab w:val="num" w:pos="360"/>
        </w:tabs>
        <w:spacing w:before="120" w:after="120" w:line="240" w:lineRule="auto"/>
        <w:ind w:left="992" w:hanging="425"/>
        <w:rPr>
          <w:rFonts w:ascii="Arial" w:hAnsi="Arial" w:cs="Arial"/>
          <w:b/>
          <w:bCs/>
          <w:color w:val="auto"/>
        </w:rPr>
      </w:pPr>
      <w:bookmarkStart w:id="66" w:name="_Toc22672386"/>
      <w:bookmarkStart w:id="67" w:name="_Toc22931675"/>
      <w:bookmarkStart w:id="68" w:name="_Toc22931921"/>
      <w:bookmarkStart w:id="69" w:name="_Toc22932384"/>
      <w:bookmarkStart w:id="70" w:name="_Toc22933392"/>
      <w:bookmarkStart w:id="71" w:name="_Toc22970482"/>
      <w:bookmarkStart w:id="72" w:name="_Toc24179623"/>
      <w:bookmarkStart w:id="73" w:name="_Toc32088429"/>
      <w:bookmarkStart w:id="74" w:name="_Toc37946471"/>
      <w:bookmarkStart w:id="75" w:name="_Toc39431318"/>
      <w:bookmarkStart w:id="76" w:name="_Toc40078828"/>
      <w:r w:rsidRPr="006D3D66">
        <w:rPr>
          <w:rFonts w:ascii="Arial" w:hAnsi="Arial" w:cs="Arial"/>
          <w:b/>
          <w:bCs/>
          <w:color w:val="auto"/>
        </w:rPr>
        <w:t xml:space="preserve">Kitô hữu ly dị ở </w:t>
      </w:r>
      <w:r w:rsidR="00CE4007">
        <w:rPr>
          <w:rFonts w:ascii="Arial" w:hAnsi="Arial" w:cs="Arial"/>
          <w:b/>
          <w:bCs/>
          <w:color w:val="auto"/>
        </w:rPr>
        <w:t>T</w:t>
      </w:r>
      <w:r w:rsidRPr="006D3D66">
        <w:rPr>
          <w:rFonts w:ascii="Arial" w:hAnsi="Arial" w:cs="Arial"/>
          <w:b/>
          <w:bCs/>
          <w:color w:val="auto"/>
        </w:rPr>
        <w:t>òa án dân sự có bị phạt vạ?</w:t>
      </w:r>
      <w:bookmarkEnd w:id="66"/>
      <w:bookmarkEnd w:id="67"/>
      <w:bookmarkEnd w:id="68"/>
      <w:bookmarkEnd w:id="69"/>
      <w:bookmarkEnd w:id="70"/>
      <w:bookmarkEnd w:id="71"/>
      <w:bookmarkEnd w:id="72"/>
      <w:bookmarkEnd w:id="73"/>
      <w:bookmarkEnd w:id="74"/>
      <w:bookmarkEnd w:id="75"/>
      <w:bookmarkEnd w:id="76"/>
      <w:r w:rsidRPr="006D3D66">
        <w:rPr>
          <w:rFonts w:ascii="Arial" w:hAnsi="Arial" w:cs="Arial"/>
          <w:b/>
          <w:bCs/>
          <w:color w:val="auto"/>
        </w:rPr>
        <w:t xml:space="preserve"> </w:t>
      </w:r>
    </w:p>
    <w:p w14:paraId="6789E808" w14:textId="56692FF3" w:rsidR="00EC7F80" w:rsidRPr="006E5DB7" w:rsidRDefault="00EC7F80" w:rsidP="00EC7F80">
      <w:pPr>
        <w:ind w:firstLine="709"/>
        <w:jc w:val="both"/>
      </w:pPr>
      <w:r>
        <w:t>Trong h</w:t>
      </w:r>
      <w:r w:rsidRPr="006E5DB7">
        <w:t xml:space="preserve">oàn cảnh ở Việt Nam hiện nay, </w:t>
      </w:r>
      <w:r>
        <w:t xml:space="preserve">có </w:t>
      </w:r>
      <w:r w:rsidRPr="006E5DB7">
        <w:t xml:space="preserve">nhiều Giáo phận, thậm chí </w:t>
      </w:r>
      <w:r>
        <w:t xml:space="preserve">riêng </w:t>
      </w:r>
      <w:r w:rsidRPr="006E5DB7">
        <w:t xml:space="preserve">vài Giáo xứ, ra luật </w:t>
      </w:r>
      <w:r>
        <w:t>riêng khi</w:t>
      </w:r>
      <w:r w:rsidRPr="006E5DB7">
        <w:t xml:space="preserve"> quy định rằng Kitô hữu ly dị ở </w:t>
      </w:r>
      <w:r w:rsidR="00CE4007">
        <w:t>T</w:t>
      </w:r>
      <w:r w:rsidRPr="006E5DB7">
        <w:t xml:space="preserve">òa án dân sự bị vạ tiền kết, với hình phạt không được lãnh nhận </w:t>
      </w:r>
      <w:r>
        <w:t xml:space="preserve">các </w:t>
      </w:r>
      <w:r w:rsidRPr="006E5DB7">
        <w:t xml:space="preserve">Bí tích Giải </w:t>
      </w:r>
      <w:r w:rsidR="00CE4007">
        <w:t>t</w:t>
      </w:r>
      <w:r w:rsidRPr="006E5DB7">
        <w:t xml:space="preserve">ội và Thánh Thể, hoặc nặng hơn nữa là bị vạ cấm chế, không được lãnh nhận các Bí tích nhằm răn đe, ngăn ngừa ly dị. Tuy nhiên, việc ra vạ này </w:t>
      </w:r>
      <w:r>
        <w:t>phải</w:t>
      </w:r>
      <w:r w:rsidRPr="006E5DB7">
        <w:t xml:space="preserve"> được xem xét lại </w:t>
      </w:r>
      <w:r>
        <w:t xml:space="preserve">sao </w:t>
      </w:r>
      <w:r w:rsidRPr="006E5DB7">
        <w:t xml:space="preserve">cho hợp lý và </w:t>
      </w:r>
      <w:r>
        <w:t xml:space="preserve">nhất là phù </w:t>
      </w:r>
      <w:r w:rsidRPr="006E5DB7">
        <w:t>hợp với tinh thần của Giáo Hội,</w:t>
      </w:r>
      <w:r>
        <w:t xml:space="preserve"> bởi vì, nếu không, nó</w:t>
      </w:r>
      <w:r w:rsidRPr="006E5DB7">
        <w:t xml:space="preserve"> có </w:t>
      </w:r>
      <w:r>
        <w:t xml:space="preserve">thể </w:t>
      </w:r>
      <w:r w:rsidRPr="006E5DB7">
        <w:t>gây tác hại nhiều hơn là lợi ích</w:t>
      </w:r>
      <w:r>
        <w:t xml:space="preserve"> cho tín hữu</w:t>
      </w:r>
      <w:r w:rsidRPr="006E5DB7">
        <w:t xml:space="preserve">. </w:t>
      </w:r>
    </w:p>
    <w:p w14:paraId="309779B0" w14:textId="476E4494" w:rsidR="00EC7F80" w:rsidRPr="006E5DB7" w:rsidRDefault="00EC7F80" w:rsidP="00EC7F80">
      <w:pPr>
        <w:ind w:firstLine="709"/>
        <w:jc w:val="both"/>
      </w:pPr>
      <w:r w:rsidRPr="006E5DB7">
        <w:t xml:space="preserve">Thật vậy, </w:t>
      </w:r>
      <w:r>
        <w:t xml:space="preserve">vạ tiền kết đối với người ly dị ở </w:t>
      </w:r>
      <w:r w:rsidR="003A0890">
        <w:t>T</w:t>
      </w:r>
      <w:r>
        <w:t xml:space="preserve">òa án dân sự không có trong quy định của </w:t>
      </w:r>
      <w:r w:rsidR="00443E95">
        <w:rPr>
          <w:lang w:val="vi-VN"/>
        </w:rPr>
        <w:t>BGL</w:t>
      </w:r>
      <w:r w:rsidRPr="006E5DB7">
        <w:t>/83. Đ</w:t>
      </w:r>
      <w:r>
        <w:t xml:space="preserve">GH </w:t>
      </w:r>
      <w:r w:rsidRPr="006E5DB7">
        <w:t xml:space="preserve">Phanxicô, khi trả lời phỏng vấn trên chuyến bay từ Rio đến Rôma năm 2013 đã xác định: </w:t>
      </w:r>
      <w:r w:rsidRPr="00443E95">
        <w:rPr>
          <w:i/>
          <w:iCs/>
        </w:rPr>
        <w:t>“Những người ly dị được phép rước lễ, chính những người ly dị và tái hôn mới không được phép”</w:t>
      </w:r>
      <w:r w:rsidRPr="00443E95">
        <w:t>.</w:t>
      </w:r>
      <w:r w:rsidRPr="006E5DB7">
        <w:t xml:space="preserve"> </w:t>
      </w:r>
      <w:r w:rsidR="00443E95">
        <w:rPr>
          <w:lang w:val="vi-VN"/>
        </w:rPr>
        <w:t>BGL</w:t>
      </w:r>
      <w:r>
        <w:t>/</w:t>
      </w:r>
      <w:r w:rsidRPr="006E5DB7">
        <w:t>83 nêu lý do hợp pháp cho phép ly thân đối với bên nạn nhân bị bách hại</w:t>
      </w:r>
      <w:r>
        <w:t>, như chúng ta đã thấy ở phần trước</w:t>
      </w:r>
      <w:r w:rsidRPr="006E5DB7">
        <w:t xml:space="preserve">. </w:t>
      </w:r>
      <w:r>
        <w:t>Phối ngẫu vô tội</w:t>
      </w:r>
      <w:r w:rsidRPr="006E5DB7">
        <w:t xml:space="preserve"> cũng được quyền tự ý ly thân trước nếu có nguy hại khi phải chờ đợi được thẩm quyền Giáo Hội ban phép</w:t>
      </w:r>
      <w:r>
        <w:rPr>
          <w:rStyle w:val="Appelnotedebasdep"/>
        </w:rPr>
        <w:footnoteReference w:id="12"/>
      </w:r>
      <w:r w:rsidRPr="006E5DB7">
        <w:t xml:space="preserve">. </w:t>
      </w:r>
      <w:r>
        <w:t>Do đó, có thể</w:t>
      </w:r>
      <w:r w:rsidRPr="006E5DB7">
        <w:t xml:space="preserve"> hiểu là, nếu cho phép ly thân </w:t>
      </w:r>
      <w:r>
        <w:t>từ phía Giáo Hội</w:t>
      </w:r>
      <w:r w:rsidRPr="006E5DB7">
        <w:t xml:space="preserve"> không có hiệu lực dân sự thì </w:t>
      </w:r>
      <w:r>
        <w:t>phối ngẫu vô tội</w:t>
      </w:r>
      <w:r w:rsidRPr="006E5DB7">
        <w:t xml:space="preserve"> được quyền ly thân ở </w:t>
      </w:r>
      <w:r w:rsidR="00CE4007">
        <w:t>T</w:t>
      </w:r>
      <w:r w:rsidRPr="006E5DB7">
        <w:t xml:space="preserve">òa án dân sự </w:t>
      </w:r>
      <w:r>
        <w:t>một</w:t>
      </w:r>
      <w:r w:rsidRPr="006E5DB7">
        <w:t xml:space="preserve"> khi có nguy hại</w:t>
      </w:r>
      <w:r>
        <w:t xml:space="preserve">, nhưng </w:t>
      </w:r>
      <w:r w:rsidRPr="006E5DB7">
        <w:t xml:space="preserve">phải chờ đợi </w:t>
      </w:r>
      <w:r w:rsidR="00CE4007">
        <w:t>G</w:t>
      </w:r>
      <w:r w:rsidRPr="006E5DB7">
        <w:t xml:space="preserve">iáo quyền ban phép. Hơn nữa, Sách Giáo Lý Hội Thánh Công Giáo dạy rằng: </w:t>
      </w:r>
      <w:r w:rsidRPr="006E5DB7">
        <w:rPr>
          <w:i/>
          <w:iCs/>
        </w:rPr>
        <w:t>“Nếu việc ly hôn về phần đời là phương cách duy nhất còn lại để bảo đảm một số quyền lợi chính đáng, chăm sóc con cái hoặc bảo vệ gia sản, thì có thể tạm chấp nhận mà không lỗi về luân lý”</w:t>
      </w:r>
      <w:r w:rsidRPr="0019574E">
        <w:rPr>
          <w:rStyle w:val="Appelnotedebasdep"/>
        </w:rPr>
        <w:footnoteReference w:id="13"/>
      </w:r>
      <w:r w:rsidRPr="0019574E">
        <w:t>.</w:t>
      </w:r>
    </w:p>
    <w:p w14:paraId="3E24154D" w14:textId="637B3D4E" w:rsidR="00EC7F80" w:rsidRPr="006E5DB7" w:rsidRDefault="00EC7F80" w:rsidP="00EC7F80">
      <w:pPr>
        <w:ind w:firstLine="709"/>
        <w:jc w:val="both"/>
        <w:rPr>
          <w:color w:val="FF0000"/>
        </w:rPr>
      </w:pPr>
      <w:r w:rsidRPr="006E5DB7">
        <w:t xml:space="preserve">Như vậy, </w:t>
      </w:r>
      <w:r>
        <w:t xml:space="preserve">đến đây, </w:t>
      </w:r>
      <w:r w:rsidRPr="006E5DB7">
        <w:t xml:space="preserve">chúng ta có thể </w:t>
      </w:r>
      <w:r>
        <w:t xml:space="preserve">khẳng định </w:t>
      </w:r>
      <w:r w:rsidRPr="006E5DB7">
        <w:t xml:space="preserve">rằng nếu luật </w:t>
      </w:r>
      <w:r>
        <w:t>riêng của một Giáo xứ trong một Giáo phận nào đó</w:t>
      </w:r>
      <w:r w:rsidRPr="006E5DB7">
        <w:t xml:space="preserve"> quy định</w:t>
      </w:r>
      <w:r>
        <w:t xml:space="preserve"> rằng </w:t>
      </w:r>
      <w:r w:rsidRPr="006E5DB7">
        <w:t xml:space="preserve">tất cả những ai ly dị ở </w:t>
      </w:r>
      <w:r w:rsidR="003A0890">
        <w:t>T</w:t>
      </w:r>
      <w:r w:rsidRPr="006E5DB7">
        <w:t>òa án dân sự</w:t>
      </w:r>
      <w:r>
        <w:t xml:space="preserve"> sẽ </w:t>
      </w:r>
      <w:r w:rsidRPr="006E5DB7">
        <w:t xml:space="preserve">bị phạt vạ, </w:t>
      </w:r>
      <w:r>
        <w:t>thì</w:t>
      </w:r>
      <w:r w:rsidRPr="006E5DB7">
        <w:t xml:space="preserve"> không phù hợp với Giáo luật</w:t>
      </w:r>
      <w:r>
        <w:rPr>
          <w:rStyle w:val="Appelnotedebasdep"/>
        </w:rPr>
        <w:footnoteReference w:id="14"/>
      </w:r>
      <w:r w:rsidRPr="006E5DB7">
        <w:t xml:space="preserve">. </w:t>
      </w:r>
      <w:r>
        <w:t>Trái</w:t>
      </w:r>
      <w:r w:rsidRPr="006E5DB7">
        <w:t xml:space="preserve"> lại, </w:t>
      </w:r>
      <w:r w:rsidRPr="00AC22BD">
        <w:t xml:space="preserve">để cho phù hợp với tinh thần của Giáo luật cần phải </w:t>
      </w:r>
      <w:r w:rsidR="00724A94">
        <w:t>xe</w:t>
      </w:r>
      <w:r w:rsidR="00724A94">
        <w:rPr>
          <w:lang w:val="vi-VN"/>
        </w:rPr>
        <w:t xml:space="preserve">m </w:t>
      </w:r>
      <w:r w:rsidRPr="00AC22BD">
        <w:t>xét từng trường hợp một.</w:t>
      </w:r>
      <w:r w:rsidRPr="006E5DB7">
        <w:t xml:space="preserve"> </w:t>
      </w:r>
      <w:r>
        <w:t>Hơn nữa, n</w:t>
      </w:r>
      <w:r w:rsidRPr="006E5DB7">
        <w:t xml:space="preserve">ên cho phép tín hữu đưa vụ ly thân ra </w:t>
      </w:r>
      <w:r w:rsidR="00CE4007">
        <w:t>T</w:t>
      </w:r>
      <w:r w:rsidRPr="006E5DB7">
        <w:t>òa án dân sự</w:t>
      </w:r>
      <w:r>
        <w:t xml:space="preserve">, trong trường hợp </w:t>
      </w:r>
      <w:r w:rsidRPr="006E5DB7">
        <w:t xml:space="preserve">cần thiết để họ được bảo vệ </w:t>
      </w:r>
      <w:r>
        <w:t>từ sự</w:t>
      </w:r>
      <w:r w:rsidRPr="006E5DB7">
        <w:t xml:space="preserve"> nguy hiểm cho tinh thần hay thể </w:t>
      </w:r>
      <w:r w:rsidR="00F11B1E">
        <w:rPr>
          <w:lang w:val="vi-VN"/>
        </w:rPr>
        <w:t>xác</w:t>
      </w:r>
      <w:r w:rsidRPr="006E5DB7">
        <w:t xml:space="preserve"> cho mình hoặc cho con cái</w:t>
      </w:r>
      <w:r>
        <w:t xml:space="preserve"> của mình</w:t>
      </w:r>
      <w:r w:rsidRPr="006E5DB7">
        <w:rPr>
          <w:rStyle w:val="Appelnotedebasdep"/>
        </w:rPr>
        <w:footnoteReference w:id="15"/>
      </w:r>
      <w:r w:rsidRPr="006E5DB7">
        <w:t xml:space="preserve">. Tóm lại, chúng ta có thể đưa ra những </w:t>
      </w:r>
      <w:r w:rsidRPr="00AC22BD">
        <w:t xml:space="preserve">nguyên tắc chung về cuộc sống của một Kitô hữu ly dị ở </w:t>
      </w:r>
      <w:r w:rsidR="00CE4007">
        <w:t>T</w:t>
      </w:r>
      <w:r w:rsidRPr="00AC22BD">
        <w:t>òa án đời</w:t>
      </w:r>
      <w:r w:rsidRPr="006E5DB7">
        <w:rPr>
          <w:rStyle w:val="Appelnotedebasdep"/>
        </w:rPr>
        <w:footnoteReference w:id="16"/>
      </w:r>
      <w:r w:rsidRPr="006E5DB7">
        <w:t>:</w:t>
      </w:r>
    </w:p>
    <w:p w14:paraId="095205F0" w14:textId="145ED642" w:rsidR="00EC7F80" w:rsidRPr="006E5DB7" w:rsidRDefault="00EC7F80" w:rsidP="00AC22BD">
      <w:pPr>
        <w:pStyle w:val="Paragraphedeliste"/>
        <w:numPr>
          <w:ilvl w:val="0"/>
          <w:numId w:val="1"/>
        </w:numPr>
        <w:ind w:left="426" w:hanging="426"/>
        <w:contextualSpacing w:val="0"/>
        <w:jc w:val="both"/>
      </w:pPr>
      <w:r w:rsidRPr="006E5DB7">
        <w:lastRenderedPageBreak/>
        <w:t>Người bị ép ly dị mà không tái hôn vẫn được tham dự mọi Bí tích như một tín hữu bình thường</w:t>
      </w:r>
      <w:r w:rsidR="00F11B1E">
        <w:rPr>
          <w:lang w:val="vi-VN"/>
        </w:rPr>
        <w:t>, khi họ trình bày với Đấng Bản Quyền để được ly thân</w:t>
      </w:r>
      <w:r w:rsidRPr="006E5DB7">
        <w:t xml:space="preserve">. </w:t>
      </w:r>
      <w:r w:rsidR="00F11B1E">
        <w:rPr>
          <w:lang w:val="vi-VN"/>
        </w:rPr>
        <w:t xml:space="preserve">Tông huấn </w:t>
      </w:r>
      <w:r w:rsidR="00F11B1E" w:rsidRPr="00BB6C72">
        <w:rPr>
          <w:i/>
          <w:iCs/>
          <w:lang w:val="vi-VN"/>
        </w:rPr>
        <w:t>Familiaris Consortio</w:t>
      </w:r>
      <w:r w:rsidR="00F11B1E">
        <w:rPr>
          <w:lang w:val="vi-VN"/>
        </w:rPr>
        <w:t xml:space="preserve"> viết: </w:t>
      </w:r>
      <w:r w:rsidRPr="006E5DB7">
        <w:t>«</w:t>
      </w:r>
      <w:r w:rsidRPr="006E5DB7">
        <w:rPr>
          <w:i/>
          <w:iCs/>
        </w:rPr>
        <w:t>Cộng đồng Giáo Hội phải nâng đỡ người ấy hơn hết, phải đem lại cho họ sự quý mến, liên đới cảm thông và giúp đỡ cụ thể để họ có thể trung thành ngay cả trong tình cảnh khó khăn của mình; phải giúp họ biết vun trồng sự tha thứ mà tình yêu thương Kitô giáo đòi hỏi và biết luôn luôn sẵn sàng nối lại cuộc sống vợ chồng trước kia</w:t>
      </w:r>
      <w:r w:rsidRPr="006E5DB7">
        <w:t>»</w:t>
      </w:r>
      <w:r>
        <w:rPr>
          <w:rStyle w:val="Appelnotedebasdep"/>
        </w:rPr>
        <w:footnoteReference w:id="17"/>
      </w:r>
      <w:r w:rsidRPr="006E5DB7">
        <w:t>.</w:t>
      </w:r>
    </w:p>
    <w:p w14:paraId="2ABA8F4C" w14:textId="77777777" w:rsidR="00EC7F80" w:rsidRPr="006E5DB7" w:rsidRDefault="00EC7F80" w:rsidP="00AC22BD">
      <w:pPr>
        <w:pStyle w:val="Paragraphedeliste"/>
        <w:numPr>
          <w:ilvl w:val="0"/>
          <w:numId w:val="1"/>
        </w:numPr>
        <w:ind w:left="426" w:hanging="426"/>
        <w:contextualSpacing w:val="0"/>
        <w:jc w:val="both"/>
      </w:pPr>
      <w:r w:rsidRPr="006E5DB7">
        <w:t xml:space="preserve">Người xin ly dị không tái hôn và quyết tâm không tái hôn có thể được tha lỗi, miễn là họ bằng lòng sửa gương xấu của họ đã gây nên, tùy theo những chỉ dẫn của Cha giải tội để sống đạo. </w:t>
      </w:r>
    </w:p>
    <w:p w14:paraId="5218188C" w14:textId="539F6ED9" w:rsidR="00EC7F80" w:rsidRPr="006E5DB7" w:rsidRDefault="00EC7F80" w:rsidP="00AC22BD">
      <w:pPr>
        <w:pStyle w:val="Paragraphedeliste"/>
        <w:numPr>
          <w:ilvl w:val="0"/>
          <w:numId w:val="1"/>
        </w:numPr>
        <w:ind w:left="426" w:hanging="426"/>
        <w:contextualSpacing w:val="0"/>
        <w:jc w:val="both"/>
      </w:pPr>
      <w:r w:rsidRPr="00AC22BD">
        <w:rPr>
          <w:bCs/>
        </w:rPr>
        <w:t>Người ly d</w:t>
      </w:r>
      <w:r w:rsidR="00B10859">
        <w:rPr>
          <w:bCs/>
        </w:rPr>
        <w:t>ị</w:t>
      </w:r>
      <w:r w:rsidRPr="00AC22BD">
        <w:rPr>
          <w:bCs/>
        </w:rPr>
        <w:t xml:space="preserve"> tái hôn</w:t>
      </w:r>
      <w:r w:rsidR="00F22E4D">
        <w:rPr>
          <w:bCs/>
          <w:lang w:val="vi-VN"/>
        </w:rPr>
        <w:t xml:space="preserve"> </w:t>
      </w:r>
      <w:r w:rsidRPr="00AC22BD">
        <w:rPr>
          <w:bCs/>
        </w:rPr>
        <w:t>chắc chắn không thể được tha thứ và không được lãnh nhận các Bí tích</w:t>
      </w:r>
      <w:r w:rsidRPr="006E5DB7">
        <w:t xml:space="preserve">, bao lâu họ còn sống trong tình trạng đó. </w:t>
      </w:r>
    </w:p>
    <w:p w14:paraId="017286B5" w14:textId="77777777" w:rsidR="00EC7F80" w:rsidRPr="006D3D66" w:rsidRDefault="00EC7F80" w:rsidP="00EC7F80">
      <w:pPr>
        <w:pStyle w:val="Titre3"/>
        <w:numPr>
          <w:ilvl w:val="0"/>
          <w:numId w:val="5"/>
        </w:numPr>
        <w:tabs>
          <w:tab w:val="num" w:pos="360"/>
        </w:tabs>
        <w:spacing w:before="120" w:after="120" w:line="240" w:lineRule="auto"/>
        <w:ind w:left="992" w:hanging="425"/>
        <w:rPr>
          <w:rFonts w:ascii="Arial" w:hAnsi="Arial" w:cs="Arial"/>
          <w:b/>
          <w:bCs/>
          <w:color w:val="auto"/>
        </w:rPr>
      </w:pPr>
      <w:bookmarkStart w:id="77" w:name="_Toc22672387"/>
      <w:bookmarkStart w:id="78" w:name="_Toc22931676"/>
      <w:bookmarkStart w:id="79" w:name="_Toc22931922"/>
      <w:bookmarkStart w:id="80" w:name="_Toc22932385"/>
      <w:bookmarkStart w:id="81" w:name="_Toc22933393"/>
      <w:bookmarkStart w:id="82" w:name="_Toc22970483"/>
      <w:bookmarkStart w:id="83" w:name="_Toc24179624"/>
      <w:bookmarkStart w:id="84" w:name="_Toc32088430"/>
      <w:r w:rsidRPr="006D3D66">
        <w:rPr>
          <w:rFonts w:ascii="Arial" w:hAnsi="Arial" w:cs="Arial"/>
          <w:b/>
          <w:bCs/>
          <w:color w:val="auto"/>
        </w:rPr>
        <w:t xml:space="preserve"> </w:t>
      </w:r>
      <w:bookmarkStart w:id="85" w:name="_Toc37946472"/>
      <w:bookmarkStart w:id="86" w:name="_Toc39431319"/>
      <w:bookmarkStart w:id="87" w:name="_Toc40078829"/>
      <w:r w:rsidRPr="006D3D66">
        <w:rPr>
          <w:rFonts w:ascii="Arial" w:hAnsi="Arial" w:cs="Arial"/>
          <w:b/>
          <w:bCs/>
          <w:color w:val="auto"/>
        </w:rPr>
        <w:t>Hiệu quả của việc ly thân</w:t>
      </w:r>
      <w:bookmarkEnd w:id="77"/>
      <w:bookmarkEnd w:id="78"/>
      <w:bookmarkEnd w:id="79"/>
      <w:bookmarkEnd w:id="80"/>
      <w:bookmarkEnd w:id="81"/>
      <w:bookmarkEnd w:id="82"/>
      <w:bookmarkEnd w:id="83"/>
      <w:bookmarkEnd w:id="84"/>
      <w:bookmarkEnd w:id="85"/>
      <w:bookmarkEnd w:id="86"/>
      <w:bookmarkEnd w:id="87"/>
    </w:p>
    <w:p w14:paraId="21A68B0C" w14:textId="31377751" w:rsidR="00EC7F80" w:rsidRPr="006E5DB7" w:rsidRDefault="00EC7F80" w:rsidP="00EC7F80">
      <w:pPr>
        <w:ind w:firstLine="708"/>
        <w:jc w:val="both"/>
      </w:pPr>
      <w:r w:rsidRPr="006E5DB7">
        <w:t>Một khi việc ly thân được thiết lập, đôi vợ chồng vẫn còn trách nhiệm lo cho con cái bằng việc nuôi dưỡng và giáo dục chúng qua những phương thế thích hợp</w:t>
      </w:r>
      <w:r>
        <w:t xml:space="preserve">, </w:t>
      </w:r>
      <w:r w:rsidR="00AC22BD">
        <w:rPr>
          <w:lang w:val="vi-VN"/>
        </w:rPr>
        <w:t>như</w:t>
      </w:r>
      <w:r>
        <w:t xml:space="preserve"> luật quy định</w:t>
      </w:r>
      <w:r w:rsidRPr="006E5DB7">
        <w:t>: “</w:t>
      </w:r>
      <w:r w:rsidRPr="006E5DB7">
        <w:rPr>
          <w:i/>
          <w:iCs/>
        </w:rPr>
        <w:t>Một khi đã ly thân, những người phối ngẫu luôn luôn phải lo liệu cách thích hợp về việc chu cấp và giáo dục buộc phải có đối với con cái</w:t>
      </w:r>
      <w:r w:rsidRPr="006E5DB7">
        <w:t>”</w:t>
      </w:r>
      <w:r>
        <w:rPr>
          <w:rStyle w:val="Appelnotedebasdep"/>
        </w:rPr>
        <w:footnoteReference w:id="18"/>
      </w:r>
      <w:r w:rsidRPr="006E5DB7">
        <w:t>.</w:t>
      </w:r>
    </w:p>
    <w:p w14:paraId="0D31152B" w14:textId="77777777" w:rsidR="00EC7F80" w:rsidRPr="006E5DB7" w:rsidRDefault="00EC7F80" w:rsidP="00EC7F80">
      <w:pPr>
        <w:ind w:firstLine="708"/>
        <w:jc w:val="both"/>
      </w:pPr>
      <w:r w:rsidRPr="006E5DB7">
        <w:t xml:space="preserve">Trong trường hợp ly thân vì có lỗi, phối ngẫu vô tội có thể luôn luôn tái chấp nhận phối ngẫu kia vào cuộc sống chung, và đó là điều đáng </w:t>
      </w:r>
      <w:r>
        <w:t xml:space="preserve">mừng và đáng </w:t>
      </w:r>
      <w:r w:rsidRPr="006E5DB7">
        <w:t xml:space="preserve">khen ngợi, </w:t>
      </w:r>
      <w:r>
        <w:t xml:space="preserve">và </w:t>
      </w:r>
      <w:r w:rsidRPr="006E5DB7">
        <w:t>trong trường hợp này, họ khước từ quyền ly thân</w:t>
      </w:r>
      <w:r>
        <w:rPr>
          <w:rStyle w:val="Appelnotedebasdep"/>
        </w:rPr>
        <w:footnoteReference w:id="19"/>
      </w:r>
      <w:r w:rsidRPr="006E5DB7">
        <w:t xml:space="preserve">. </w:t>
      </w:r>
    </w:p>
    <w:p w14:paraId="2F05CE61" w14:textId="77777777" w:rsidR="00EC7F80" w:rsidRPr="006D3D66" w:rsidRDefault="00EC7F80" w:rsidP="00EC7F80">
      <w:pPr>
        <w:pStyle w:val="Titre3"/>
        <w:numPr>
          <w:ilvl w:val="0"/>
          <w:numId w:val="5"/>
        </w:numPr>
        <w:tabs>
          <w:tab w:val="num" w:pos="360"/>
        </w:tabs>
        <w:spacing w:before="120" w:after="120" w:line="240" w:lineRule="auto"/>
        <w:ind w:left="992" w:hanging="425"/>
        <w:rPr>
          <w:rFonts w:ascii="Arial" w:hAnsi="Arial" w:cs="Arial"/>
          <w:b/>
          <w:bCs/>
          <w:color w:val="auto"/>
          <w:lang w:val="en-GB"/>
        </w:rPr>
      </w:pPr>
      <w:r w:rsidRPr="006D3D66">
        <w:rPr>
          <w:rFonts w:ascii="Arial" w:hAnsi="Arial" w:cs="Arial"/>
          <w:b/>
          <w:bCs/>
          <w:color w:val="auto"/>
        </w:rPr>
        <w:t xml:space="preserve"> </w:t>
      </w:r>
      <w:bookmarkStart w:id="88" w:name="_Toc22672388"/>
      <w:bookmarkStart w:id="89" w:name="_Toc22931677"/>
      <w:bookmarkStart w:id="90" w:name="_Toc22931923"/>
      <w:bookmarkStart w:id="91" w:name="_Toc22932386"/>
      <w:bookmarkStart w:id="92" w:name="_Toc22933394"/>
      <w:bookmarkStart w:id="93" w:name="_Toc22970484"/>
      <w:bookmarkStart w:id="94" w:name="_Toc24179625"/>
      <w:bookmarkStart w:id="95" w:name="_Toc32088431"/>
      <w:bookmarkStart w:id="96" w:name="_Toc37946473"/>
      <w:bookmarkStart w:id="97" w:name="_Toc39431320"/>
      <w:bookmarkStart w:id="98" w:name="_Toc40078830"/>
      <w:r w:rsidRPr="006D3D66">
        <w:rPr>
          <w:rFonts w:ascii="Arial" w:hAnsi="Arial" w:cs="Arial"/>
          <w:b/>
          <w:bCs/>
          <w:color w:val="auto"/>
          <w:lang w:val="en-GB"/>
        </w:rPr>
        <w:t>Thủ tục xin ly thân</w:t>
      </w:r>
      <w:bookmarkEnd w:id="88"/>
      <w:bookmarkEnd w:id="89"/>
      <w:bookmarkEnd w:id="90"/>
      <w:bookmarkEnd w:id="91"/>
      <w:bookmarkEnd w:id="92"/>
      <w:bookmarkEnd w:id="93"/>
      <w:bookmarkEnd w:id="94"/>
      <w:bookmarkEnd w:id="95"/>
      <w:bookmarkEnd w:id="96"/>
      <w:bookmarkEnd w:id="97"/>
      <w:bookmarkEnd w:id="98"/>
    </w:p>
    <w:p w14:paraId="0CCB2078" w14:textId="31172F07" w:rsidR="00EC7F80" w:rsidRPr="006E5DB7" w:rsidRDefault="00EC7F80" w:rsidP="00EC7F80">
      <w:pPr>
        <w:ind w:firstLine="708"/>
        <w:jc w:val="both"/>
        <w:rPr>
          <w:lang w:val="en-GB"/>
        </w:rPr>
      </w:pPr>
      <w:r w:rsidRPr="006E5DB7">
        <w:rPr>
          <w:lang w:val="en-GB"/>
        </w:rPr>
        <w:t xml:space="preserve">Thủ tục </w:t>
      </w:r>
      <w:r>
        <w:rPr>
          <w:lang w:val="en-GB"/>
        </w:rPr>
        <w:t xml:space="preserve">để </w:t>
      </w:r>
      <w:r w:rsidRPr="006E5DB7">
        <w:rPr>
          <w:lang w:val="en-GB"/>
        </w:rPr>
        <w:t xml:space="preserve">xin ly thân được </w:t>
      </w:r>
      <w:r>
        <w:rPr>
          <w:lang w:val="en-GB"/>
        </w:rPr>
        <w:t>quy định</w:t>
      </w:r>
      <w:r w:rsidRPr="006E5DB7">
        <w:rPr>
          <w:lang w:val="en-GB"/>
        </w:rPr>
        <w:t xml:space="preserve"> trong </w:t>
      </w:r>
      <w:r w:rsidR="00AC22BD">
        <w:rPr>
          <w:lang w:val="vi-VN"/>
        </w:rPr>
        <w:t>BGL</w:t>
      </w:r>
      <w:r w:rsidRPr="006E5DB7">
        <w:rPr>
          <w:lang w:val="en-GB"/>
        </w:rPr>
        <w:t xml:space="preserve">/83, đ.1692-1696. Trong các điều luật này chúng ta thấy rằng </w:t>
      </w:r>
      <w:r w:rsidRPr="00AC22BD">
        <w:rPr>
          <w:lang w:val="en-GB"/>
        </w:rPr>
        <w:t>để tuyên bố ly thân cần ban một sắc lệnh, và trong sắc lệnh có viện dẫn lý do</w:t>
      </w:r>
      <w:r w:rsidRPr="00F7501B">
        <w:rPr>
          <w:rStyle w:val="Appelnotedebasdep"/>
          <w:bCs/>
          <w:lang w:val="en-GB"/>
        </w:rPr>
        <w:footnoteReference w:id="20"/>
      </w:r>
      <w:r w:rsidRPr="006E5DB7">
        <w:rPr>
          <w:lang w:val="en-GB"/>
        </w:rPr>
        <w:t>. Mặt khác, Tòa án Hôn phối có thể xem xét việc ly thân theo những nguyên tắc của điều luật 1673, và có thể chọn tố tụng khẩu biện và tố tụng hộ sự thông thường</w:t>
      </w:r>
      <w:r>
        <w:rPr>
          <w:rStyle w:val="Appelnotedebasdep"/>
          <w:lang w:val="en-GB"/>
        </w:rPr>
        <w:footnoteReference w:id="21"/>
      </w:r>
      <w:r w:rsidRPr="006E5DB7">
        <w:rPr>
          <w:lang w:val="en-GB"/>
        </w:rPr>
        <w:t xml:space="preserve">. Tuy nhiên </w:t>
      </w:r>
      <w:r w:rsidR="00EA4A00">
        <w:rPr>
          <w:lang w:val="vi-VN"/>
        </w:rPr>
        <w:t xml:space="preserve">Giáo </w:t>
      </w:r>
      <w:r w:rsidRPr="006E5DB7">
        <w:rPr>
          <w:lang w:val="en-GB"/>
        </w:rPr>
        <w:t>luật cũng tiên liệu thẩm phán có thể dùng phương thế mang tính cách mục vụ để hòa giải các phối ngẫu và để khuyên họ tái lập đời sống chung vợ chồng</w:t>
      </w:r>
      <w:r>
        <w:rPr>
          <w:lang w:val="en-GB"/>
        </w:rPr>
        <w:t xml:space="preserve"> đã tan vỡ</w:t>
      </w:r>
      <w:r>
        <w:rPr>
          <w:rStyle w:val="Appelnotedebasdep"/>
          <w:lang w:val="en-GB"/>
        </w:rPr>
        <w:footnoteReference w:id="22"/>
      </w:r>
      <w:r>
        <w:rPr>
          <w:lang w:val="en-GB"/>
        </w:rPr>
        <w:t>.</w:t>
      </w:r>
      <w:r w:rsidRPr="006E5DB7">
        <w:rPr>
          <w:lang w:val="en-GB"/>
        </w:rPr>
        <w:t xml:space="preserve"> </w:t>
      </w:r>
    </w:p>
    <w:p w14:paraId="78EEA56D" w14:textId="379259FB" w:rsidR="002964AF" w:rsidRDefault="00EC7F80" w:rsidP="00AF5882">
      <w:pPr>
        <w:jc w:val="both"/>
        <w:rPr>
          <w:lang w:val="en-GB"/>
        </w:rPr>
      </w:pPr>
      <w:r w:rsidRPr="006E5DB7">
        <w:rPr>
          <w:lang w:val="en-GB"/>
        </w:rPr>
        <w:t xml:space="preserve"> </w:t>
      </w:r>
      <w:bookmarkStart w:id="99" w:name="_Toc22672389"/>
      <w:bookmarkStart w:id="100" w:name="_Toc22931678"/>
      <w:bookmarkStart w:id="101" w:name="_Toc22931924"/>
      <w:bookmarkStart w:id="102" w:name="_Toc22932387"/>
      <w:bookmarkStart w:id="103" w:name="_Toc22933395"/>
      <w:bookmarkStart w:id="104" w:name="_Toc22970485"/>
      <w:bookmarkStart w:id="105" w:name="_Toc24179626"/>
      <w:bookmarkStart w:id="106" w:name="_Toc32088432"/>
      <w:bookmarkStart w:id="107" w:name="_Toc37946474"/>
      <w:r>
        <w:rPr>
          <w:lang w:val="en-GB"/>
        </w:rPr>
        <w:tab/>
        <w:t xml:space="preserve">Về </w:t>
      </w:r>
      <w:r w:rsidRPr="00DA41CA">
        <w:rPr>
          <w:lang w:val="en-GB"/>
        </w:rPr>
        <w:t>thủ</w:t>
      </w:r>
      <w:r w:rsidRPr="006E5DB7">
        <w:rPr>
          <w:lang w:val="en-GB"/>
        </w:rPr>
        <w:t xml:space="preserve"> tục hành chánh</w:t>
      </w:r>
      <w:r w:rsidRPr="00F7501B">
        <w:rPr>
          <w:rStyle w:val="Appelnotedebasdep"/>
          <w:rFonts w:eastAsia="Calibri"/>
          <w:lang w:val="en-GB"/>
        </w:rPr>
        <w:footnoteReference w:id="23"/>
      </w:r>
      <w:bookmarkEnd w:id="99"/>
      <w:bookmarkEnd w:id="100"/>
      <w:bookmarkEnd w:id="101"/>
      <w:bookmarkEnd w:id="102"/>
      <w:bookmarkEnd w:id="103"/>
      <w:bookmarkEnd w:id="104"/>
      <w:bookmarkEnd w:id="105"/>
      <w:bookmarkEnd w:id="106"/>
      <w:bookmarkEnd w:id="107"/>
      <w:r>
        <w:rPr>
          <w:lang w:val="en-GB"/>
        </w:rPr>
        <w:t xml:space="preserve">, Giáo luật quy định rằng một khi bị chồng/vợ bách hại, thì </w:t>
      </w:r>
      <w:r w:rsidR="00E47AC8">
        <w:rPr>
          <w:lang w:val="en-GB"/>
        </w:rPr>
        <w:t>vợ</w:t>
      </w:r>
      <w:r>
        <w:rPr>
          <w:lang w:val="en-GB"/>
        </w:rPr>
        <w:t>/</w:t>
      </w:r>
      <w:r w:rsidR="00E47AC8">
        <w:rPr>
          <w:lang w:val="en-GB"/>
        </w:rPr>
        <w:t>chồng</w:t>
      </w:r>
      <w:r>
        <w:rPr>
          <w:lang w:val="en-GB"/>
        </w:rPr>
        <w:t xml:space="preserve"> có lý do chính đáng và hợp pháp để xin ly thân</w:t>
      </w:r>
      <w:r>
        <w:rPr>
          <w:rStyle w:val="Appelnotedebasdep"/>
          <w:lang w:val="en-GB"/>
        </w:rPr>
        <w:footnoteReference w:id="24"/>
      </w:r>
      <w:r>
        <w:rPr>
          <w:lang w:val="en-GB"/>
        </w:rPr>
        <w:t xml:space="preserve">. Có những trường hợp được Đức Giám mục </w:t>
      </w:r>
      <w:r w:rsidR="00E2427E">
        <w:rPr>
          <w:lang w:val="en-GB"/>
        </w:rPr>
        <w:t>B</w:t>
      </w:r>
      <w:r>
        <w:rPr>
          <w:lang w:val="en-GB"/>
        </w:rPr>
        <w:t xml:space="preserve">ản </w:t>
      </w:r>
      <w:r w:rsidR="00D9610C">
        <w:rPr>
          <w:lang w:val="en-GB"/>
        </w:rPr>
        <w:t>Q</w:t>
      </w:r>
      <w:r>
        <w:rPr>
          <w:lang w:val="en-GB"/>
        </w:rPr>
        <w:t xml:space="preserve">uyền cho phép đưa tình trạng ly thân ra </w:t>
      </w:r>
      <w:r w:rsidR="003A0890">
        <w:rPr>
          <w:lang w:val="en-GB"/>
        </w:rPr>
        <w:t>T</w:t>
      </w:r>
      <w:r>
        <w:rPr>
          <w:lang w:val="en-GB"/>
        </w:rPr>
        <w:t>òa án dân sự</w:t>
      </w:r>
      <w:r>
        <w:rPr>
          <w:rStyle w:val="Appelnotedebasdep"/>
          <w:lang w:val="en-GB"/>
        </w:rPr>
        <w:footnoteReference w:id="25"/>
      </w:r>
      <w:r>
        <w:rPr>
          <w:lang w:val="en-GB"/>
        </w:rPr>
        <w:t xml:space="preserve">. Mặt khác, trong trường hợp đã được </w:t>
      </w:r>
      <w:r w:rsidR="006A45DB">
        <w:rPr>
          <w:lang w:val="en-GB"/>
        </w:rPr>
        <w:t>T</w:t>
      </w:r>
      <w:r>
        <w:rPr>
          <w:lang w:val="en-GB"/>
        </w:rPr>
        <w:t>òa án dân sự công bố, chồng/vợ cũng có thể tiến hành thủ tục này</w:t>
      </w:r>
      <w:r>
        <w:rPr>
          <w:rStyle w:val="Appelnotedebasdep"/>
          <w:lang w:val="en-GB"/>
        </w:rPr>
        <w:footnoteReference w:id="26"/>
      </w:r>
      <w:r>
        <w:rPr>
          <w:lang w:val="en-GB"/>
        </w:rPr>
        <w:t xml:space="preserve">. Hơn nữa, một khi được Đấng Bản </w:t>
      </w:r>
      <w:r w:rsidR="00D9610C">
        <w:rPr>
          <w:lang w:val="en-GB"/>
        </w:rPr>
        <w:t>Q</w:t>
      </w:r>
      <w:r>
        <w:rPr>
          <w:lang w:val="en-GB"/>
        </w:rPr>
        <w:t xml:space="preserve">uyền chấp nhận, họ không bị chế tài. </w:t>
      </w:r>
    </w:p>
    <w:p w14:paraId="3390A2AA" w14:textId="2D7140E4" w:rsidR="00FF7F06" w:rsidRDefault="00FF7F06" w:rsidP="00AF5882">
      <w:pPr>
        <w:jc w:val="both"/>
        <w:rPr>
          <w:lang w:val="en-GB"/>
        </w:rPr>
      </w:pPr>
    </w:p>
    <w:p w14:paraId="6CD34138" w14:textId="77777777" w:rsidR="00FF7F06" w:rsidRDefault="00FF7F06" w:rsidP="00AF5882">
      <w:pPr>
        <w:jc w:val="both"/>
        <w:rPr>
          <w:lang w:val="en-GB"/>
        </w:rPr>
      </w:pPr>
    </w:p>
    <w:p w14:paraId="33E92DBF" w14:textId="60E2FD71" w:rsidR="00D647D5" w:rsidRPr="00403E37" w:rsidRDefault="00D647D5" w:rsidP="00FF7F06">
      <w:pPr>
        <w:pStyle w:val="Titre2"/>
        <w:numPr>
          <w:ilvl w:val="0"/>
          <w:numId w:val="6"/>
        </w:numPr>
        <w:spacing w:before="240" w:after="120" w:line="240" w:lineRule="auto"/>
        <w:ind w:left="425" w:hanging="425"/>
        <w:rPr>
          <w:rFonts w:ascii="Arial" w:hAnsi="Arial" w:cs="Arial"/>
          <w:b/>
          <w:bCs/>
          <w:color w:val="auto"/>
          <w:sz w:val="24"/>
          <w:szCs w:val="24"/>
          <w:lang w:val="vi-VN"/>
        </w:rPr>
      </w:pPr>
      <w:r w:rsidRPr="00403E37">
        <w:rPr>
          <w:rFonts w:ascii="Arial" w:hAnsi="Arial" w:cs="Arial"/>
          <w:b/>
          <w:bCs/>
          <w:color w:val="auto"/>
          <w:sz w:val="24"/>
          <w:szCs w:val="24"/>
          <w:lang w:val="vi-VN"/>
        </w:rPr>
        <w:lastRenderedPageBreak/>
        <w:t>Mẫu đơn xin phép Đấng Bản Quyền ly thân</w:t>
      </w:r>
    </w:p>
    <w:p w14:paraId="26FDA0B8" w14:textId="77777777" w:rsidR="00D647D5" w:rsidRPr="00631BD7" w:rsidRDefault="00D647D5" w:rsidP="00303739">
      <w:pPr>
        <w:tabs>
          <w:tab w:val="left" w:pos="8789"/>
        </w:tabs>
        <w:spacing w:before="0" w:after="0" w:line="240" w:lineRule="auto"/>
        <w:ind w:left="-425" w:right="-57" w:hanging="10"/>
        <w:rPr>
          <w:b/>
          <w:color w:val="0070C0"/>
          <w:lang w:val="pt-BR"/>
        </w:rPr>
      </w:pPr>
      <w:r w:rsidRPr="00631BD7">
        <w:rPr>
          <w:b/>
          <w:color w:val="0070C0"/>
          <w:lang w:val="pt-BR"/>
        </w:rPr>
        <w:t>TỔNG GIÁO PHẬN HUẾ</w:t>
      </w:r>
    </w:p>
    <w:p w14:paraId="6B0B6B30" w14:textId="77777777" w:rsidR="00D647D5" w:rsidRPr="00631BD7" w:rsidRDefault="00D647D5" w:rsidP="00303739">
      <w:pPr>
        <w:tabs>
          <w:tab w:val="right" w:leader="dot" w:pos="2835"/>
          <w:tab w:val="left" w:pos="8789"/>
        </w:tabs>
        <w:spacing w:before="0" w:after="0" w:line="240" w:lineRule="auto"/>
        <w:ind w:left="-425" w:right="-57" w:hanging="11"/>
        <w:rPr>
          <w:bCs/>
          <w:color w:val="0070C0"/>
          <w:lang w:val="pt-BR"/>
        </w:rPr>
      </w:pPr>
      <w:r w:rsidRPr="00631BD7">
        <w:rPr>
          <w:bCs/>
          <w:color w:val="0070C0"/>
          <w:lang w:val="pt-BR"/>
        </w:rPr>
        <w:t xml:space="preserve">Giáo hạt: </w:t>
      </w:r>
      <w:r w:rsidRPr="00211FA5">
        <w:rPr>
          <w:bCs/>
          <w:color w:val="0070C0"/>
          <w:sz w:val="20"/>
          <w:szCs w:val="20"/>
          <w:lang w:val="pt-BR"/>
        </w:rPr>
        <w:tab/>
      </w:r>
    </w:p>
    <w:p w14:paraId="301C010E" w14:textId="77777777" w:rsidR="00D647D5" w:rsidRPr="00631BD7" w:rsidRDefault="00D647D5" w:rsidP="00303739">
      <w:pPr>
        <w:tabs>
          <w:tab w:val="right" w:leader="dot" w:pos="2835"/>
          <w:tab w:val="left" w:pos="8789"/>
        </w:tabs>
        <w:spacing w:before="0" w:after="0" w:line="240" w:lineRule="auto"/>
        <w:ind w:left="-425" w:right="-57" w:hanging="11"/>
        <w:rPr>
          <w:bCs/>
          <w:color w:val="0070C0"/>
          <w:lang w:val="pt-BR"/>
        </w:rPr>
      </w:pPr>
      <w:r w:rsidRPr="00631BD7">
        <w:rPr>
          <w:bCs/>
          <w:color w:val="0070C0"/>
          <w:lang w:val="pt-BR"/>
        </w:rPr>
        <w:t xml:space="preserve">Giáo xứ: </w:t>
      </w:r>
      <w:r w:rsidRPr="00211FA5">
        <w:rPr>
          <w:bCs/>
          <w:color w:val="0070C0"/>
          <w:sz w:val="20"/>
          <w:szCs w:val="20"/>
          <w:lang w:val="pt-BR"/>
        </w:rPr>
        <w:tab/>
      </w:r>
    </w:p>
    <w:p w14:paraId="3D61503A" w14:textId="77777777" w:rsidR="00D647D5" w:rsidRPr="00631BD7" w:rsidRDefault="00D647D5" w:rsidP="00303739">
      <w:pPr>
        <w:tabs>
          <w:tab w:val="right" w:leader="dot" w:pos="2835"/>
          <w:tab w:val="left" w:pos="8789"/>
        </w:tabs>
        <w:spacing w:before="0" w:after="0" w:line="240" w:lineRule="auto"/>
        <w:ind w:left="-425" w:right="-57" w:hanging="11"/>
        <w:rPr>
          <w:bCs/>
          <w:color w:val="0070C0"/>
          <w:lang w:val="pt-BR"/>
        </w:rPr>
      </w:pPr>
      <w:r w:rsidRPr="00631BD7">
        <w:rPr>
          <w:bCs/>
          <w:color w:val="0070C0"/>
          <w:lang w:val="pt-BR"/>
        </w:rPr>
        <w:t xml:space="preserve">Phone: </w:t>
      </w:r>
      <w:r w:rsidRPr="00211FA5">
        <w:rPr>
          <w:bCs/>
          <w:color w:val="0070C0"/>
          <w:sz w:val="20"/>
          <w:szCs w:val="20"/>
          <w:lang w:val="pt-BR"/>
        </w:rPr>
        <w:tab/>
      </w:r>
    </w:p>
    <w:p w14:paraId="594F8840" w14:textId="77777777" w:rsidR="00D647D5" w:rsidRPr="00631BD7" w:rsidRDefault="00D647D5" w:rsidP="00303739">
      <w:pPr>
        <w:tabs>
          <w:tab w:val="right" w:leader="dot" w:pos="2835"/>
          <w:tab w:val="left" w:pos="8789"/>
        </w:tabs>
        <w:spacing w:before="0" w:after="0" w:line="240" w:lineRule="auto"/>
        <w:ind w:left="-425" w:right="-57" w:hanging="11"/>
        <w:rPr>
          <w:bCs/>
          <w:color w:val="0070C0"/>
          <w:lang w:val="pt-BR"/>
        </w:rPr>
      </w:pPr>
      <w:r w:rsidRPr="00631BD7">
        <w:rPr>
          <w:bCs/>
          <w:color w:val="0070C0"/>
          <w:lang w:val="pt-BR"/>
        </w:rPr>
        <w:t xml:space="preserve">Email: </w:t>
      </w:r>
      <w:r w:rsidRPr="00211FA5">
        <w:rPr>
          <w:bCs/>
          <w:color w:val="0070C0"/>
          <w:sz w:val="20"/>
          <w:szCs w:val="20"/>
          <w:lang w:val="pt-BR"/>
        </w:rPr>
        <w:tab/>
      </w:r>
    </w:p>
    <w:p w14:paraId="190D340B" w14:textId="1E82CEBD" w:rsidR="00D647D5" w:rsidRDefault="00D647D5" w:rsidP="009E64D3">
      <w:pPr>
        <w:tabs>
          <w:tab w:val="left" w:pos="8789"/>
        </w:tabs>
        <w:spacing w:line="240" w:lineRule="auto"/>
        <w:ind w:left="-57" w:right="-57" w:hanging="11"/>
        <w:jc w:val="center"/>
        <w:rPr>
          <w:b/>
          <w:color w:val="FF0000"/>
          <w:sz w:val="32"/>
          <w:szCs w:val="32"/>
          <w:lang w:val="pt-BR"/>
        </w:rPr>
      </w:pPr>
      <w:r w:rsidRPr="00DC6197">
        <w:rPr>
          <w:b/>
          <w:color w:val="FF0000"/>
          <w:sz w:val="32"/>
          <w:szCs w:val="32"/>
          <w:lang w:val="pt-BR"/>
        </w:rPr>
        <w:t xml:space="preserve">ĐƠN XIN </w:t>
      </w:r>
      <w:r w:rsidRPr="00DC6197">
        <w:rPr>
          <w:b/>
          <w:color w:val="FF0000"/>
          <w:sz w:val="32"/>
          <w:szCs w:val="32"/>
          <w:lang w:val="vi-VN"/>
        </w:rPr>
        <w:t>LY THÂN</w:t>
      </w:r>
      <w:r w:rsidRPr="00DC6197">
        <w:rPr>
          <w:b/>
          <w:color w:val="FF0000"/>
          <w:sz w:val="32"/>
          <w:szCs w:val="32"/>
          <w:lang w:val="pt-BR"/>
        </w:rPr>
        <w:t xml:space="preserve"> </w:t>
      </w:r>
    </w:p>
    <w:p w14:paraId="1B41D8D7" w14:textId="2657FF04" w:rsidR="009E64D3" w:rsidRDefault="009E64D3" w:rsidP="009E64D3">
      <w:pPr>
        <w:tabs>
          <w:tab w:val="left" w:pos="8789"/>
        </w:tabs>
        <w:spacing w:line="240" w:lineRule="auto"/>
        <w:ind w:left="-57" w:right="-57" w:hanging="11"/>
        <w:jc w:val="center"/>
        <w:rPr>
          <w:lang w:val="vi-VN"/>
        </w:rPr>
      </w:pPr>
      <w:r w:rsidRPr="009E64D3">
        <w:rPr>
          <w:lang w:val="vi-VN"/>
        </w:rPr>
        <w:t>(BGL/83, đ.1152-1153)</w:t>
      </w:r>
    </w:p>
    <w:p w14:paraId="18DF06EF" w14:textId="77777777" w:rsidR="009E64D3" w:rsidRPr="009E64D3" w:rsidRDefault="009E64D3" w:rsidP="009E64D3">
      <w:pPr>
        <w:tabs>
          <w:tab w:val="left" w:pos="8789"/>
        </w:tabs>
        <w:spacing w:line="240" w:lineRule="auto"/>
        <w:ind w:left="-57" w:right="-57" w:hanging="11"/>
        <w:jc w:val="center"/>
        <w:rPr>
          <w:color w:val="FF0000"/>
          <w:lang w:val="pt-BR"/>
        </w:rPr>
      </w:pPr>
    </w:p>
    <w:p w14:paraId="2A9247AA" w14:textId="7F21BACE" w:rsidR="00D647D5" w:rsidRPr="00DC6197" w:rsidRDefault="00D647D5" w:rsidP="009E64D3">
      <w:pPr>
        <w:tabs>
          <w:tab w:val="left" w:pos="8789"/>
        </w:tabs>
        <w:spacing w:before="0" w:after="0" w:line="240" w:lineRule="auto"/>
        <w:ind w:right="-57"/>
        <w:rPr>
          <w:bCs/>
          <w:lang w:val="vi-VN"/>
        </w:rPr>
      </w:pPr>
      <w:r w:rsidRPr="00DC6197">
        <w:rPr>
          <w:bCs/>
          <w:i/>
          <w:iCs/>
          <w:lang w:val="pt-BR"/>
        </w:rPr>
        <w:t xml:space="preserve">         Kính gửi</w:t>
      </w:r>
      <w:r w:rsidRPr="00DC6197">
        <w:rPr>
          <w:bCs/>
          <w:lang w:val="pt-BR"/>
        </w:rPr>
        <w:t xml:space="preserve">: </w:t>
      </w:r>
      <w:r w:rsidRPr="00DC6197">
        <w:rPr>
          <w:bCs/>
          <w:lang w:val="vi-VN"/>
        </w:rPr>
        <w:t xml:space="preserve">  Đức Tổng Giám mục Giuse Nguyễn Chí Linh</w:t>
      </w:r>
      <w:r>
        <w:rPr>
          <w:bCs/>
          <w:lang w:val="vi-VN"/>
        </w:rPr>
        <w:t>,</w:t>
      </w:r>
    </w:p>
    <w:p w14:paraId="48D40B0A" w14:textId="4C085A1C" w:rsidR="00D647D5" w:rsidRPr="00D647D5" w:rsidRDefault="00D647D5" w:rsidP="009E64D3">
      <w:pPr>
        <w:tabs>
          <w:tab w:val="left" w:pos="8789"/>
        </w:tabs>
        <w:spacing w:before="0" w:after="240" w:line="240" w:lineRule="auto"/>
        <w:ind w:right="-57"/>
        <w:rPr>
          <w:bCs/>
          <w:lang w:val="vi-VN"/>
        </w:rPr>
      </w:pPr>
      <w:r w:rsidRPr="00DC6197">
        <w:rPr>
          <w:bCs/>
          <w:lang w:val="vi-VN"/>
        </w:rPr>
        <w:t xml:space="preserve">                           </w:t>
      </w:r>
      <w:r w:rsidRPr="00DC6197">
        <w:rPr>
          <w:bCs/>
          <w:lang w:val="pt-BR"/>
        </w:rPr>
        <w:t>Tòa án Hôn phối Tổng Giáo phận Huế</w:t>
      </w:r>
      <w:r>
        <w:rPr>
          <w:bCs/>
          <w:lang w:val="vi-VN"/>
        </w:rPr>
        <w:t>.</w:t>
      </w:r>
    </w:p>
    <w:p w14:paraId="0254928B" w14:textId="10F62130" w:rsidR="00D647D5" w:rsidRPr="00631BD7" w:rsidRDefault="001068A1" w:rsidP="009E64D3">
      <w:pPr>
        <w:tabs>
          <w:tab w:val="right" w:leader="dot" w:pos="8505"/>
          <w:tab w:val="right" w:leader="dot" w:pos="9072"/>
        </w:tabs>
        <w:spacing w:before="0" w:after="0" w:line="240" w:lineRule="auto"/>
        <w:ind w:left="-57" w:right="-57"/>
        <w:rPr>
          <w:lang w:val="pt-BR"/>
        </w:rPr>
      </w:pPr>
      <w:r>
        <w:rPr>
          <w:lang w:val="vi-VN"/>
        </w:rPr>
        <w:t>Con</w:t>
      </w:r>
      <w:r w:rsidR="00D647D5" w:rsidRPr="00631BD7">
        <w:rPr>
          <w:lang w:val="pt-BR"/>
        </w:rPr>
        <w:t xml:space="preserve"> tên là </w:t>
      </w:r>
      <w:r w:rsidR="00D647D5" w:rsidRPr="00211FA5">
        <w:rPr>
          <w:i/>
          <w:iCs/>
          <w:sz w:val="20"/>
          <w:szCs w:val="20"/>
          <w:lang w:val="pt-BR"/>
        </w:rPr>
        <w:t>(tên thánh, họ và tên)</w:t>
      </w:r>
      <w:r w:rsidR="00D647D5" w:rsidRPr="00211FA5">
        <w:rPr>
          <w:sz w:val="20"/>
          <w:szCs w:val="20"/>
          <w:lang w:val="pt-BR"/>
        </w:rPr>
        <w:t>:</w:t>
      </w:r>
      <w:r w:rsidR="00D647D5" w:rsidRPr="00631BD7">
        <w:rPr>
          <w:lang w:val="pt-BR"/>
        </w:rPr>
        <w:t xml:space="preserve"> </w:t>
      </w:r>
      <w:r w:rsidR="00D647D5" w:rsidRPr="00211FA5">
        <w:rPr>
          <w:sz w:val="20"/>
          <w:szCs w:val="20"/>
          <w:lang w:val="pt-BR"/>
        </w:rPr>
        <w:tab/>
        <w:t>..........</w:t>
      </w:r>
      <w:r w:rsidR="00D647D5" w:rsidRPr="00211FA5">
        <w:rPr>
          <w:sz w:val="20"/>
          <w:szCs w:val="20"/>
          <w:lang w:val="pt-BR"/>
        </w:rPr>
        <w:tab/>
      </w:r>
    </w:p>
    <w:p w14:paraId="018697AC" w14:textId="77777777" w:rsidR="00D647D5" w:rsidRPr="00631BD7" w:rsidRDefault="00D647D5" w:rsidP="009E64D3">
      <w:pPr>
        <w:tabs>
          <w:tab w:val="right" w:leader="dot" w:pos="9072"/>
        </w:tabs>
        <w:spacing w:before="0" w:after="0" w:line="240" w:lineRule="auto"/>
        <w:ind w:left="-57" w:right="-57"/>
        <w:rPr>
          <w:lang w:val="pt-BR"/>
        </w:rPr>
      </w:pPr>
      <w:r w:rsidRPr="00631BD7">
        <w:rPr>
          <w:lang w:val="pt-BR"/>
        </w:rPr>
        <w:t xml:space="preserve">Sinh </w:t>
      </w:r>
      <w:r w:rsidRPr="00211FA5">
        <w:rPr>
          <w:i/>
          <w:iCs/>
          <w:sz w:val="20"/>
          <w:szCs w:val="20"/>
          <w:lang w:val="pt-BR"/>
        </w:rPr>
        <w:t>(ngày/ tháng/ năm):</w:t>
      </w:r>
      <w:r w:rsidRPr="00631BD7">
        <w:rPr>
          <w:lang w:val="pt-BR"/>
        </w:rPr>
        <w:t xml:space="preserve"> </w:t>
      </w:r>
      <w:r w:rsidRPr="00211FA5">
        <w:rPr>
          <w:sz w:val="20"/>
          <w:szCs w:val="20"/>
          <w:lang w:val="pt-BR"/>
        </w:rPr>
        <w:tab/>
      </w:r>
    </w:p>
    <w:p w14:paraId="2375454E" w14:textId="77777777" w:rsidR="00D647D5" w:rsidRPr="00631BD7" w:rsidRDefault="00D647D5" w:rsidP="009E64D3">
      <w:pPr>
        <w:tabs>
          <w:tab w:val="right" w:leader="dot" w:pos="9072"/>
        </w:tabs>
        <w:spacing w:before="0" w:after="0" w:line="240" w:lineRule="auto"/>
        <w:ind w:left="-57" w:right="-57"/>
        <w:rPr>
          <w:lang w:val="pt-BR"/>
        </w:rPr>
      </w:pPr>
      <w:r w:rsidRPr="00631BD7">
        <w:rPr>
          <w:lang w:val="pt-BR"/>
        </w:rPr>
        <w:t xml:space="preserve">Địa chỉ hiện nay: </w:t>
      </w:r>
      <w:r w:rsidRPr="00211FA5">
        <w:rPr>
          <w:sz w:val="20"/>
          <w:szCs w:val="20"/>
          <w:lang w:val="pt-BR"/>
        </w:rPr>
        <w:tab/>
      </w:r>
    </w:p>
    <w:p w14:paraId="64F08510" w14:textId="77777777" w:rsidR="00D647D5" w:rsidRPr="00631BD7" w:rsidRDefault="00D647D5" w:rsidP="009E64D3">
      <w:pPr>
        <w:tabs>
          <w:tab w:val="right" w:leader="dot" w:pos="9072"/>
        </w:tabs>
        <w:spacing w:before="0" w:after="0" w:line="240" w:lineRule="auto"/>
        <w:ind w:left="-57" w:right="-57"/>
        <w:rPr>
          <w:lang w:val="pt-BR"/>
        </w:rPr>
      </w:pPr>
      <w:r w:rsidRPr="00631BD7">
        <w:rPr>
          <w:lang w:val="pt-BR"/>
        </w:rPr>
        <w:t xml:space="preserve">Số điện thoại: </w:t>
      </w:r>
      <w:r w:rsidRPr="00211FA5">
        <w:rPr>
          <w:sz w:val="20"/>
          <w:szCs w:val="20"/>
          <w:lang w:val="pt-BR"/>
        </w:rPr>
        <w:tab/>
      </w:r>
    </w:p>
    <w:p w14:paraId="7A2DABA9" w14:textId="469447A5" w:rsidR="00D647D5" w:rsidRPr="00631BD7" w:rsidRDefault="00D647D5" w:rsidP="009E64D3">
      <w:pPr>
        <w:tabs>
          <w:tab w:val="right" w:leader="dot" w:pos="9072"/>
        </w:tabs>
        <w:spacing w:before="0" w:after="0" w:line="240" w:lineRule="auto"/>
        <w:ind w:left="-57" w:right="-57"/>
        <w:rPr>
          <w:lang w:val="pt-BR"/>
        </w:rPr>
      </w:pPr>
      <w:r w:rsidRPr="00631BD7">
        <w:rPr>
          <w:lang w:val="pt-BR"/>
        </w:rPr>
        <w:t>Email:</w:t>
      </w:r>
      <w:r w:rsidRPr="00211FA5">
        <w:rPr>
          <w:sz w:val="20"/>
          <w:szCs w:val="20"/>
          <w:lang w:val="pt-BR"/>
        </w:rPr>
        <w:tab/>
      </w:r>
    </w:p>
    <w:p w14:paraId="451F69AE" w14:textId="234E46A3" w:rsidR="00D647D5" w:rsidRPr="00631BD7" w:rsidRDefault="00D647D5" w:rsidP="009E64D3">
      <w:pPr>
        <w:tabs>
          <w:tab w:val="right" w:leader="dot" w:pos="9072"/>
        </w:tabs>
        <w:spacing w:before="240" w:after="0" w:line="240" w:lineRule="auto"/>
        <w:ind w:left="-57" w:right="-57"/>
        <w:rPr>
          <w:lang w:val="pt-BR"/>
        </w:rPr>
      </w:pPr>
      <w:r w:rsidRPr="00631BD7">
        <w:rPr>
          <w:lang w:val="pt-BR"/>
        </w:rPr>
        <w:t xml:space="preserve">Hôn nhân </w:t>
      </w:r>
      <w:r w:rsidRPr="00631BD7">
        <w:rPr>
          <w:lang w:val="vi-VN"/>
        </w:rPr>
        <w:t xml:space="preserve">chúng </w:t>
      </w:r>
      <w:r w:rsidR="001068A1">
        <w:rPr>
          <w:lang w:val="vi-VN"/>
        </w:rPr>
        <w:t>con</w:t>
      </w:r>
      <w:r w:rsidRPr="00631BD7">
        <w:rPr>
          <w:lang w:val="vi-VN"/>
        </w:rPr>
        <w:t xml:space="preserve"> </w:t>
      </w:r>
      <w:r w:rsidRPr="00631BD7">
        <w:rPr>
          <w:lang w:val="pt-BR"/>
        </w:rPr>
        <w:t xml:space="preserve">đã được cử hành </w:t>
      </w:r>
      <w:r w:rsidRPr="00DC6197">
        <w:rPr>
          <w:i/>
          <w:iCs/>
          <w:sz w:val="20"/>
          <w:szCs w:val="20"/>
          <w:lang w:val="pt-BR"/>
        </w:rPr>
        <w:t>(ngày/ tháng/ năm)</w:t>
      </w:r>
      <w:r w:rsidRPr="00DC6197">
        <w:rPr>
          <w:sz w:val="20"/>
          <w:szCs w:val="20"/>
          <w:lang w:val="pt-BR"/>
        </w:rPr>
        <w:t>:</w:t>
      </w:r>
      <w:r w:rsidRPr="00211FA5">
        <w:rPr>
          <w:sz w:val="20"/>
          <w:szCs w:val="20"/>
          <w:lang w:val="pt-BR"/>
        </w:rPr>
        <w:tab/>
      </w:r>
    </w:p>
    <w:p w14:paraId="612618A4" w14:textId="77777777" w:rsidR="00D647D5" w:rsidRPr="00631BD7" w:rsidRDefault="00D647D5" w:rsidP="009E64D3">
      <w:pPr>
        <w:tabs>
          <w:tab w:val="right" w:leader="dot" w:pos="9072"/>
        </w:tabs>
        <w:spacing w:before="0" w:after="0" w:line="240" w:lineRule="auto"/>
        <w:ind w:left="-57" w:right="-57"/>
        <w:rPr>
          <w:lang w:val="pt-BR"/>
        </w:rPr>
      </w:pPr>
      <w:r w:rsidRPr="00631BD7">
        <w:rPr>
          <w:lang w:val="pt-BR"/>
        </w:rPr>
        <w:t>Tại Giáo xứ:</w:t>
      </w:r>
      <w:r w:rsidRPr="00211FA5">
        <w:rPr>
          <w:sz w:val="20"/>
          <w:szCs w:val="20"/>
          <w:lang w:val="pt-BR"/>
        </w:rPr>
        <w:tab/>
      </w:r>
    </w:p>
    <w:p w14:paraId="0D8C4304" w14:textId="77777777" w:rsidR="00D647D5" w:rsidRPr="00631BD7" w:rsidRDefault="00D647D5" w:rsidP="009E64D3">
      <w:pPr>
        <w:tabs>
          <w:tab w:val="right" w:leader="dot" w:pos="9072"/>
        </w:tabs>
        <w:spacing w:before="0" w:after="0"/>
        <w:ind w:left="-57" w:right="-57"/>
        <w:rPr>
          <w:lang w:val="pt-BR"/>
        </w:rPr>
      </w:pPr>
      <w:r w:rsidRPr="00631BD7">
        <w:rPr>
          <w:lang w:val="pt-BR"/>
        </w:rPr>
        <w:t xml:space="preserve">Giáo phận: </w:t>
      </w:r>
      <w:r w:rsidRPr="00211FA5">
        <w:rPr>
          <w:sz w:val="20"/>
          <w:szCs w:val="20"/>
          <w:lang w:val="pt-BR"/>
        </w:rPr>
        <w:tab/>
      </w:r>
    </w:p>
    <w:p w14:paraId="58F3B875" w14:textId="77777777" w:rsidR="00D647D5" w:rsidRPr="00631BD7" w:rsidRDefault="00D647D5" w:rsidP="009E64D3">
      <w:pPr>
        <w:tabs>
          <w:tab w:val="right" w:leader="dot" w:pos="9072"/>
        </w:tabs>
        <w:spacing w:before="0" w:after="0"/>
        <w:ind w:left="-57" w:right="-57"/>
        <w:rPr>
          <w:lang w:val="pt-BR"/>
        </w:rPr>
      </w:pPr>
      <w:r w:rsidRPr="00631BD7">
        <w:rPr>
          <w:lang w:val="pt-BR"/>
        </w:rPr>
        <w:t xml:space="preserve">Với </w:t>
      </w:r>
      <w:r w:rsidRPr="00211FA5">
        <w:rPr>
          <w:i/>
          <w:iCs/>
          <w:sz w:val="20"/>
          <w:szCs w:val="20"/>
          <w:lang w:val="pt-BR"/>
        </w:rPr>
        <w:t>(tên thánh, họ và tên):</w:t>
      </w:r>
      <w:r w:rsidRPr="00211FA5">
        <w:rPr>
          <w:sz w:val="20"/>
          <w:szCs w:val="20"/>
          <w:lang w:val="pt-BR"/>
        </w:rPr>
        <w:tab/>
      </w:r>
    </w:p>
    <w:p w14:paraId="18F84FB3" w14:textId="77777777" w:rsidR="00D647D5" w:rsidRPr="00631BD7" w:rsidRDefault="00D647D5" w:rsidP="009E64D3">
      <w:pPr>
        <w:tabs>
          <w:tab w:val="right" w:leader="dot" w:pos="9072"/>
        </w:tabs>
        <w:spacing w:before="0" w:after="0"/>
        <w:ind w:left="-57" w:right="-57"/>
        <w:rPr>
          <w:lang w:val="pt-BR"/>
        </w:rPr>
      </w:pPr>
      <w:r w:rsidRPr="00631BD7">
        <w:rPr>
          <w:lang w:val="pt-BR"/>
        </w:rPr>
        <w:t xml:space="preserve">Sinh </w:t>
      </w:r>
      <w:r w:rsidRPr="00211FA5">
        <w:rPr>
          <w:i/>
          <w:iCs/>
          <w:sz w:val="20"/>
          <w:szCs w:val="20"/>
          <w:lang w:val="pt-BR"/>
        </w:rPr>
        <w:t>(ngày/ tháng/ năm):</w:t>
      </w:r>
      <w:r w:rsidRPr="00631BD7">
        <w:rPr>
          <w:i/>
          <w:iCs/>
          <w:lang w:val="pt-BR"/>
        </w:rPr>
        <w:t xml:space="preserve"> </w:t>
      </w:r>
      <w:r w:rsidRPr="00211FA5">
        <w:rPr>
          <w:sz w:val="20"/>
          <w:szCs w:val="20"/>
          <w:lang w:val="pt-BR"/>
        </w:rPr>
        <w:tab/>
      </w:r>
    </w:p>
    <w:p w14:paraId="09164EC9" w14:textId="77777777" w:rsidR="00D647D5" w:rsidRPr="00631BD7" w:rsidRDefault="00D647D5" w:rsidP="009E64D3">
      <w:pPr>
        <w:tabs>
          <w:tab w:val="right" w:leader="dot" w:pos="9072"/>
        </w:tabs>
        <w:spacing w:before="0" w:after="0"/>
        <w:ind w:left="-57" w:right="-57"/>
        <w:rPr>
          <w:lang w:val="pt-BR"/>
        </w:rPr>
      </w:pPr>
      <w:r w:rsidRPr="00631BD7">
        <w:rPr>
          <w:lang w:val="pt-BR"/>
        </w:rPr>
        <w:t xml:space="preserve">Tôn giáo: </w:t>
      </w:r>
      <w:r w:rsidRPr="00211FA5">
        <w:rPr>
          <w:sz w:val="20"/>
          <w:szCs w:val="20"/>
          <w:lang w:val="pt-BR"/>
        </w:rPr>
        <w:tab/>
      </w:r>
    </w:p>
    <w:p w14:paraId="37D936CF" w14:textId="77777777" w:rsidR="00D647D5" w:rsidRPr="00631BD7" w:rsidRDefault="00D647D5" w:rsidP="009E64D3">
      <w:pPr>
        <w:tabs>
          <w:tab w:val="right" w:leader="dot" w:pos="9072"/>
        </w:tabs>
        <w:spacing w:before="0" w:after="0"/>
        <w:ind w:left="-57" w:right="-57"/>
        <w:rPr>
          <w:lang w:val="pt-BR"/>
        </w:rPr>
      </w:pPr>
      <w:r w:rsidRPr="00631BD7">
        <w:rPr>
          <w:lang w:val="pt-BR"/>
        </w:rPr>
        <w:t>Địa chỉ hiện nay:</w:t>
      </w:r>
      <w:r w:rsidRPr="00211FA5">
        <w:rPr>
          <w:sz w:val="20"/>
          <w:szCs w:val="20"/>
          <w:lang w:val="pt-BR"/>
        </w:rPr>
        <w:tab/>
      </w:r>
    </w:p>
    <w:p w14:paraId="2318691C" w14:textId="77777777" w:rsidR="00D647D5" w:rsidRPr="00631BD7" w:rsidRDefault="00D647D5" w:rsidP="009E64D3">
      <w:pPr>
        <w:tabs>
          <w:tab w:val="right" w:leader="dot" w:pos="9072"/>
        </w:tabs>
        <w:spacing w:before="0" w:after="0"/>
        <w:ind w:left="-57" w:right="-57"/>
        <w:rPr>
          <w:lang w:val="pt-BR"/>
        </w:rPr>
      </w:pPr>
      <w:r w:rsidRPr="00631BD7">
        <w:rPr>
          <w:lang w:val="pt-BR"/>
        </w:rPr>
        <w:t>Số điện thoại:</w:t>
      </w:r>
      <w:r w:rsidRPr="00211FA5">
        <w:rPr>
          <w:sz w:val="20"/>
          <w:szCs w:val="20"/>
          <w:lang w:val="pt-BR"/>
        </w:rPr>
        <w:tab/>
      </w:r>
    </w:p>
    <w:p w14:paraId="7A851CB4" w14:textId="77777777" w:rsidR="00D647D5" w:rsidRPr="00631BD7" w:rsidRDefault="00D647D5" w:rsidP="009E64D3">
      <w:pPr>
        <w:tabs>
          <w:tab w:val="right" w:leader="dot" w:pos="9072"/>
        </w:tabs>
        <w:spacing w:before="0" w:after="0"/>
        <w:ind w:left="-57" w:right="-57"/>
        <w:rPr>
          <w:lang w:val="pt-BR"/>
        </w:rPr>
      </w:pPr>
      <w:r w:rsidRPr="00631BD7">
        <w:rPr>
          <w:lang w:val="pt-BR"/>
        </w:rPr>
        <w:t>Email:</w:t>
      </w:r>
      <w:r w:rsidRPr="00211FA5">
        <w:rPr>
          <w:sz w:val="20"/>
          <w:szCs w:val="20"/>
          <w:lang w:val="pt-BR"/>
        </w:rPr>
        <w:t xml:space="preserve"> ...</w:t>
      </w:r>
      <w:r w:rsidRPr="00211FA5">
        <w:rPr>
          <w:sz w:val="20"/>
          <w:szCs w:val="20"/>
          <w:lang w:val="pt-BR"/>
        </w:rPr>
        <w:tab/>
      </w:r>
    </w:p>
    <w:p w14:paraId="5FAB14CF" w14:textId="1794FF38" w:rsidR="00D647D5" w:rsidRPr="00631BD7" w:rsidRDefault="00D647D5" w:rsidP="009E64D3">
      <w:pPr>
        <w:tabs>
          <w:tab w:val="right" w:leader="dot" w:pos="8505"/>
          <w:tab w:val="left" w:pos="8789"/>
        </w:tabs>
        <w:spacing w:before="0" w:after="0" w:line="240" w:lineRule="auto"/>
        <w:ind w:left="-57" w:right="-57"/>
        <w:rPr>
          <w:lang w:val="pt-BR"/>
        </w:rPr>
      </w:pPr>
      <w:r w:rsidRPr="00631BD7">
        <w:rPr>
          <w:lang w:val="vi-VN"/>
        </w:rPr>
        <w:t xml:space="preserve">Chúng </w:t>
      </w:r>
      <w:r w:rsidR="001068A1">
        <w:rPr>
          <w:lang w:val="vi-VN"/>
        </w:rPr>
        <w:t>con</w:t>
      </w:r>
      <w:r w:rsidRPr="00631BD7">
        <w:rPr>
          <w:lang w:val="vi-VN"/>
        </w:rPr>
        <w:t xml:space="preserve"> đã sống </w:t>
      </w:r>
      <w:r w:rsidRPr="00631BD7">
        <w:rPr>
          <w:lang w:val="pt-BR"/>
        </w:rPr>
        <w:t>chung</w:t>
      </w:r>
      <w:r>
        <w:rPr>
          <w:lang w:val="vi-VN"/>
        </w:rPr>
        <w:t xml:space="preserve"> với nhau</w:t>
      </w:r>
      <w:r w:rsidRPr="00631BD7">
        <w:rPr>
          <w:lang w:val="vi-VN"/>
        </w:rPr>
        <w:t xml:space="preserve"> </w:t>
      </w:r>
      <w:r w:rsidRPr="00631BD7">
        <w:rPr>
          <w:lang w:val="pt-BR"/>
        </w:rPr>
        <w:t>được</w:t>
      </w:r>
      <w:r w:rsidRPr="00211FA5">
        <w:rPr>
          <w:sz w:val="20"/>
          <w:szCs w:val="20"/>
          <w:lang w:val="pt-BR"/>
        </w:rPr>
        <w:t>:.....</w:t>
      </w:r>
      <w:r w:rsidRPr="00211FA5">
        <w:rPr>
          <w:sz w:val="20"/>
          <w:szCs w:val="20"/>
          <w:lang w:val="vi-VN"/>
        </w:rPr>
        <w:t>.......</w:t>
      </w:r>
      <w:r w:rsidRPr="00211FA5">
        <w:rPr>
          <w:sz w:val="20"/>
          <w:szCs w:val="20"/>
          <w:lang w:val="pt-BR"/>
        </w:rPr>
        <w:t>..</w:t>
      </w:r>
      <w:r w:rsidRPr="000C4DF4">
        <w:rPr>
          <w:lang w:val="vi-VN"/>
        </w:rPr>
        <w:t>năm,</w:t>
      </w:r>
      <w:r w:rsidRPr="00631BD7">
        <w:rPr>
          <w:lang w:val="vi-VN"/>
        </w:rPr>
        <w:t xml:space="preserve"> và có chung</w:t>
      </w:r>
      <w:r w:rsidRPr="00631BD7">
        <w:rPr>
          <w:lang w:val="pt-BR"/>
        </w:rPr>
        <w:t xml:space="preserve"> với nhau:</w:t>
      </w:r>
      <w:r w:rsidRPr="00211FA5">
        <w:rPr>
          <w:sz w:val="20"/>
          <w:szCs w:val="20"/>
          <w:lang w:val="vi-VN"/>
        </w:rPr>
        <w:t>...............</w:t>
      </w:r>
      <w:r w:rsidRPr="00631BD7">
        <w:rPr>
          <w:lang w:val="vi-VN"/>
        </w:rPr>
        <w:t xml:space="preserve"> </w:t>
      </w:r>
      <w:r w:rsidRPr="00631BD7">
        <w:rPr>
          <w:lang w:val="pt-BR"/>
        </w:rPr>
        <w:t xml:space="preserve">đứa con. </w:t>
      </w:r>
    </w:p>
    <w:p w14:paraId="54C48194" w14:textId="5B514F1F" w:rsidR="00D647D5" w:rsidRPr="00631BD7" w:rsidRDefault="00D647D5" w:rsidP="009E64D3">
      <w:pPr>
        <w:tabs>
          <w:tab w:val="left" w:pos="8789"/>
          <w:tab w:val="right" w:leader="dot" w:pos="9072"/>
        </w:tabs>
        <w:spacing w:before="240" w:after="0" w:line="240" w:lineRule="auto"/>
        <w:ind w:left="-57" w:right="-57"/>
        <w:rPr>
          <w:lang w:val="vi-VN"/>
        </w:rPr>
      </w:pPr>
      <w:r w:rsidRPr="00631BD7">
        <w:rPr>
          <w:lang w:val="vi-VN"/>
        </w:rPr>
        <w:t xml:space="preserve">Kính xin Đức Tổng Giám mục cho phép </w:t>
      </w:r>
      <w:r w:rsidR="001068A1">
        <w:rPr>
          <w:lang w:val="vi-VN"/>
        </w:rPr>
        <w:t>con</w:t>
      </w:r>
      <w:r w:rsidR="00C9457F">
        <w:rPr>
          <w:lang w:val="vi-VN"/>
        </w:rPr>
        <w:t xml:space="preserve"> </w:t>
      </w:r>
      <w:r w:rsidRPr="00631BD7">
        <w:rPr>
          <w:lang w:val="vi-VN"/>
        </w:rPr>
        <w:t>được ly thân vì lý do sau đây</w:t>
      </w:r>
      <w:r>
        <w:rPr>
          <w:lang w:val="vi-VN"/>
        </w:rPr>
        <w:t xml:space="preserve"> </w:t>
      </w:r>
      <w:r w:rsidRPr="00DC6197">
        <w:rPr>
          <w:sz w:val="20"/>
          <w:szCs w:val="20"/>
          <w:lang w:val="vi-VN"/>
        </w:rPr>
        <w:t>(</w:t>
      </w:r>
      <w:r>
        <w:rPr>
          <w:sz w:val="20"/>
          <w:szCs w:val="20"/>
          <w:lang w:val="vi-VN"/>
        </w:rPr>
        <w:t>B</w:t>
      </w:r>
      <w:r w:rsidRPr="00DC6197">
        <w:rPr>
          <w:sz w:val="20"/>
          <w:szCs w:val="20"/>
          <w:lang w:val="vi-VN"/>
        </w:rPr>
        <w:t xml:space="preserve">GL/83, đ.1152-1153): </w:t>
      </w:r>
    </w:p>
    <w:p w14:paraId="11ABF40B" w14:textId="6FCDC988" w:rsidR="00D647D5" w:rsidRPr="00631BD7" w:rsidRDefault="00D647D5" w:rsidP="00D647D5">
      <w:pPr>
        <w:pStyle w:val="Paragraphedeliste"/>
        <w:numPr>
          <w:ilvl w:val="0"/>
          <w:numId w:val="7"/>
        </w:numPr>
        <w:tabs>
          <w:tab w:val="right" w:leader="dot" w:pos="9072"/>
        </w:tabs>
        <w:spacing w:before="0" w:after="0" w:line="240" w:lineRule="auto"/>
        <w:ind w:right="-57"/>
        <w:rPr>
          <w:lang w:val="pt-BR"/>
        </w:rPr>
      </w:pPr>
      <w:r w:rsidRPr="00631BD7">
        <w:rPr>
          <w:lang w:val="vi-VN"/>
        </w:rPr>
        <w:t>Chồng</w:t>
      </w:r>
      <w:r w:rsidR="00331299">
        <w:rPr>
          <w:lang w:val="vi-VN"/>
        </w:rPr>
        <w:t xml:space="preserve"> (</w:t>
      </w:r>
      <w:r w:rsidRPr="00631BD7">
        <w:rPr>
          <w:lang w:val="vi-VN"/>
        </w:rPr>
        <w:t>vợ</w:t>
      </w:r>
      <w:r w:rsidR="00331299">
        <w:rPr>
          <w:lang w:val="vi-VN"/>
        </w:rPr>
        <w:t>)</w:t>
      </w:r>
      <w:r w:rsidRPr="00631BD7">
        <w:rPr>
          <w:lang w:val="vi-VN"/>
        </w:rPr>
        <w:t xml:space="preserve"> con ngoại tình, từ ngày</w:t>
      </w:r>
      <w:r w:rsidRPr="00631BD7">
        <w:rPr>
          <w:lang w:val="pt-BR"/>
        </w:rPr>
        <w:t xml:space="preserve">: </w:t>
      </w:r>
      <w:r w:rsidRPr="000E045D">
        <w:rPr>
          <w:sz w:val="20"/>
          <w:szCs w:val="20"/>
          <w:lang w:val="pt-BR"/>
        </w:rPr>
        <w:tab/>
      </w:r>
    </w:p>
    <w:p w14:paraId="0CBE0558" w14:textId="41C63581" w:rsidR="00D647D5" w:rsidRPr="00631BD7" w:rsidRDefault="00D647D5" w:rsidP="00D647D5">
      <w:pPr>
        <w:pStyle w:val="Paragraphedeliste"/>
        <w:numPr>
          <w:ilvl w:val="0"/>
          <w:numId w:val="7"/>
        </w:numPr>
        <w:tabs>
          <w:tab w:val="right" w:leader="dot" w:pos="9072"/>
        </w:tabs>
        <w:spacing w:before="0" w:after="0" w:line="240" w:lineRule="auto"/>
        <w:ind w:right="-57"/>
        <w:rPr>
          <w:lang w:val="pt-BR"/>
        </w:rPr>
      </w:pPr>
      <w:r w:rsidRPr="00631BD7">
        <w:rPr>
          <w:lang w:val="vi-VN"/>
        </w:rPr>
        <w:t>Chồng</w:t>
      </w:r>
      <w:r w:rsidR="00331299">
        <w:rPr>
          <w:lang w:val="vi-VN"/>
        </w:rPr>
        <w:t xml:space="preserve"> (</w:t>
      </w:r>
      <w:r w:rsidRPr="00631BD7">
        <w:rPr>
          <w:lang w:val="vi-VN"/>
        </w:rPr>
        <w:t>vợ</w:t>
      </w:r>
      <w:r w:rsidR="00331299">
        <w:rPr>
          <w:lang w:val="vi-VN"/>
        </w:rPr>
        <w:t>)</w:t>
      </w:r>
      <w:r w:rsidRPr="00631BD7">
        <w:rPr>
          <w:lang w:val="vi-VN"/>
        </w:rPr>
        <w:t xml:space="preserve"> con đã kết hôn dân sự với người khác, từ ngày: </w:t>
      </w:r>
      <w:r w:rsidRPr="000E045D">
        <w:rPr>
          <w:sz w:val="20"/>
          <w:szCs w:val="20"/>
          <w:lang w:val="pt-BR"/>
        </w:rPr>
        <w:tab/>
      </w:r>
    </w:p>
    <w:p w14:paraId="70DFAF0C" w14:textId="57C29EB0" w:rsidR="00D647D5" w:rsidRPr="00631BD7" w:rsidRDefault="00D647D5" w:rsidP="00D647D5">
      <w:pPr>
        <w:pStyle w:val="Paragraphedeliste"/>
        <w:numPr>
          <w:ilvl w:val="0"/>
          <w:numId w:val="7"/>
        </w:numPr>
        <w:tabs>
          <w:tab w:val="right" w:leader="dot" w:pos="9072"/>
        </w:tabs>
        <w:spacing w:before="0" w:after="0"/>
        <w:ind w:right="-57"/>
        <w:rPr>
          <w:lang w:val="pt-BR"/>
        </w:rPr>
      </w:pPr>
      <w:r w:rsidRPr="00631BD7">
        <w:rPr>
          <w:lang w:val="vi-VN"/>
        </w:rPr>
        <w:t>Chồng</w:t>
      </w:r>
      <w:r w:rsidR="00331299">
        <w:rPr>
          <w:lang w:val="vi-VN"/>
        </w:rPr>
        <w:t xml:space="preserve"> (</w:t>
      </w:r>
      <w:r w:rsidRPr="00631BD7">
        <w:rPr>
          <w:lang w:val="vi-VN"/>
        </w:rPr>
        <w:t>vợ</w:t>
      </w:r>
      <w:r w:rsidR="00331299">
        <w:rPr>
          <w:lang w:val="vi-VN"/>
        </w:rPr>
        <w:t>)</w:t>
      </w:r>
      <w:r w:rsidRPr="00631BD7">
        <w:rPr>
          <w:lang w:val="vi-VN"/>
        </w:rPr>
        <w:t xml:space="preserve"> con đang gây nguy hiểm nghiêm trọng</w:t>
      </w:r>
      <w:r w:rsidR="0074402A">
        <w:rPr>
          <w:lang w:val="vi-VN"/>
        </w:rPr>
        <w:t xml:space="preserve"> cho con</w:t>
      </w:r>
      <w:r w:rsidRPr="00631BD7">
        <w:rPr>
          <w:lang w:val="vi-VN"/>
        </w:rPr>
        <w:t xml:space="preserve"> về cuộc sống tinh thần/thể xác, từ ngày:</w:t>
      </w:r>
      <w:r w:rsidRPr="000E045D">
        <w:rPr>
          <w:sz w:val="20"/>
          <w:szCs w:val="20"/>
          <w:lang w:val="vi-VN"/>
        </w:rPr>
        <w:tab/>
      </w:r>
    </w:p>
    <w:p w14:paraId="504B5466" w14:textId="615DFE8A" w:rsidR="00D647D5" w:rsidRPr="00631BD7" w:rsidRDefault="00D647D5" w:rsidP="0074402A">
      <w:pPr>
        <w:pStyle w:val="Paragraphedeliste"/>
        <w:numPr>
          <w:ilvl w:val="0"/>
          <w:numId w:val="7"/>
        </w:numPr>
        <w:tabs>
          <w:tab w:val="right" w:leader="dot" w:pos="9072"/>
        </w:tabs>
        <w:spacing w:before="0" w:after="0"/>
        <w:ind w:right="-57"/>
        <w:contextualSpacing w:val="0"/>
        <w:jc w:val="both"/>
        <w:rPr>
          <w:lang w:val="pt-BR"/>
        </w:rPr>
      </w:pPr>
      <w:r w:rsidRPr="00631BD7">
        <w:rPr>
          <w:lang w:val="vi-VN"/>
        </w:rPr>
        <w:t>Chồng</w:t>
      </w:r>
      <w:r w:rsidR="00331299">
        <w:rPr>
          <w:lang w:val="vi-VN"/>
        </w:rPr>
        <w:t xml:space="preserve"> (</w:t>
      </w:r>
      <w:r w:rsidRPr="00631BD7">
        <w:rPr>
          <w:lang w:val="vi-VN"/>
        </w:rPr>
        <w:t>vợ</w:t>
      </w:r>
      <w:r w:rsidR="00331299">
        <w:rPr>
          <w:lang w:val="vi-VN"/>
        </w:rPr>
        <w:t xml:space="preserve">) </w:t>
      </w:r>
      <w:r w:rsidRPr="00631BD7">
        <w:rPr>
          <w:lang w:val="vi-VN"/>
        </w:rPr>
        <w:t xml:space="preserve">con đang gây nguy hiểm nghiêm trọng </w:t>
      </w:r>
      <w:r w:rsidR="0074402A">
        <w:rPr>
          <w:lang w:val="vi-VN"/>
        </w:rPr>
        <w:t xml:space="preserve">cho con cái của con </w:t>
      </w:r>
      <w:r w:rsidRPr="00631BD7">
        <w:rPr>
          <w:lang w:val="vi-VN"/>
        </w:rPr>
        <w:t>về cuộc sống tinh</w:t>
      </w:r>
      <w:r w:rsidR="0074402A">
        <w:rPr>
          <w:lang w:val="vi-VN"/>
        </w:rPr>
        <w:t xml:space="preserve"> </w:t>
      </w:r>
      <w:r w:rsidRPr="00631BD7">
        <w:rPr>
          <w:lang w:val="vi-VN"/>
        </w:rPr>
        <w:t xml:space="preserve">thần/thể xác, từ ngày: </w:t>
      </w:r>
      <w:r w:rsidRPr="000E045D">
        <w:rPr>
          <w:sz w:val="20"/>
          <w:szCs w:val="20"/>
          <w:lang w:val="vi-VN"/>
        </w:rPr>
        <w:tab/>
      </w:r>
    </w:p>
    <w:p w14:paraId="74F19C67" w14:textId="1765A980" w:rsidR="00D647D5" w:rsidRPr="00631BD7" w:rsidRDefault="00D647D5" w:rsidP="00D647D5">
      <w:pPr>
        <w:tabs>
          <w:tab w:val="right" w:leader="dot" w:pos="9072"/>
        </w:tabs>
        <w:spacing w:after="0"/>
        <w:ind w:left="-57" w:right="-57"/>
        <w:rPr>
          <w:lang w:val="vi-VN"/>
        </w:rPr>
      </w:pPr>
      <w:r w:rsidRPr="00631BD7">
        <w:rPr>
          <w:lang w:val="vi-VN"/>
        </w:rPr>
        <w:t>Cụ thể, chồng</w:t>
      </w:r>
      <w:r w:rsidR="00ED57A9">
        <w:rPr>
          <w:lang w:val="vi-VN"/>
        </w:rPr>
        <w:t xml:space="preserve"> (</w:t>
      </w:r>
      <w:r w:rsidRPr="00631BD7">
        <w:rPr>
          <w:lang w:val="vi-VN"/>
        </w:rPr>
        <w:t>vợ</w:t>
      </w:r>
      <w:r w:rsidR="00ED57A9">
        <w:rPr>
          <w:lang w:val="vi-VN"/>
        </w:rPr>
        <w:t>)</w:t>
      </w:r>
      <w:r w:rsidRPr="00631BD7">
        <w:rPr>
          <w:lang w:val="vi-VN"/>
        </w:rPr>
        <w:t xml:space="preserve"> con đã đối xử với con những hành vi sau đây: </w:t>
      </w:r>
      <w:r w:rsidRPr="000E045D">
        <w:rPr>
          <w:sz w:val="20"/>
          <w:szCs w:val="20"/>
          <w:lang w:val="vi-VN"/>
        </w:rPr>
        <w:tab/>
      </w:r>
    </w:p>
    <w:p w14:paraId="740A02F7" w14:textId="77777777" w:rsidR="00D647D5" w:rsidRPr="000E045D" w:rsidRDefault="00D647D5" w:rsidP="00D647D5">
      <w:pPr>
        <w:tabs>
          <w:tab w:val="right" w:leader="dot" w:pos="9072"/>
        </w:tabs>
        <w:spacing w:after="0"/>
        <w:ind w:left="-57" w:right="-57"/>
        <w:rPr>
          <w:sz w:val="20"/>
          <w:szCs w:val="20"/>
          <w:lang w:val="vi-VN"/>
        </w:rPr>
      </w:pPr>
      <w:r w:rsidRPr="000E045D">
        <w:rPr>
          <w:sz w:val="20"/>
          <w:szCs w:val="20"/>
          <w:lang w:val="vi-VN"/>
        </w:rPr>
        <w:tab/>
      </w:r>
    </w:p>
    <w:p w14:paraId="093C1668" w14:textId="77777777" w:rsidR="00D647D5" w:rsidRPr="00631BD7" w:rsidRDefault="00D647D5" w:rsidP="00D647D5">
      <w:pPr>
        <w:tabs>
          <w:tab w:val="right" w:leader="dot" w:pos="8505"/>
          <w:tab w:val="left" w:pos="8789"/>
        </w:tabs>
        <w:spacing w:after="14" w:line="248" w:lineRule="auto"/>
        <w:ind w:left="-57" w:right="282" w:hanging="10"/>
        <w:jc w:val="right"/>
        <w:rPr>
          <w:i/>
          <w:iCs/>
          <w:lang w:val="pt-BR"/>
        </w:rPr>
      </w:pPr>
      <w:r w:rsidRPr="00631BD7">
        <w:rPr>
          <w:i/>
          <w:iCs/>
          <w:lang w:val="pt-BR"/>
        </w:rPr>
        <w:t>Làm tại:</w:t>
      </w:r>
      <w:r w:rsidRPr="000E045D">
        <w:rPr>
          <w:i/>
          <w:iCs/>
          <w:sz w:val="20"/>
          <w:szCs w:val="20"/>
          <w:lang w:val="pt-BR"/>
        </w:rPr>
        <w:t>….……………...</w:t>
      </w:r>
      <w:r w:rsidRPr="00631BD7">
        <w:rPr>
          <w:i/>
          <w:iCs/>
          <w:lang w:val="pt-BR"/>
        </w:rPr>
        <w:t>, ngày</w:t>
      </w:r>
      <w:r w:rsidRPr="000E045D">
        <w:rPr>
          <w:i/>
          <w:iCs/>
          <w:sz w:val="20"/>
          <w:szCs w:val="20"/>
          <w:lang w:val="pt-BR"/>
        </w:rPr>
        <w:t xml:space="preserve"> ……</w:t>
      </w:r>
      <w:r w:rsidRPr="00631BD7">
        <w:rPr>
          <w:i/>
          <w:iCs/>
          <w:lang w:val="pt-BR"/>
        </w:rPr>
        <w:t>tháng</w:t>
      </w:r>
      <w:r w:rsidRPr="000E045D">
        <w:rPr>
          <w:i/>
          <w:iCs/>
          <w:sz w:val="20"/>
          <w:szCs w:val="20"/>
          <w:lang w:val="pt-BR"/>
        </w:rPr>
        <w:t>…...…</w:t>
      </w:r>
      <w:r w:rsidRPr="00631BD7">
        <w:rPr>
          <w:i/>
          <w:iCs/>
          <w:lang w:val="pt-BR"/>
        </w:rPr>
        <w:t>năm</w:t>
      </w:r>
      <w:r w:rsidRPr="000E045D">
        <w:rPr>
          <w:i/>
          <w:iCs/>
          <w:sz w:val="20"/>
          <w:szCs w:val="20"/>
          <w:lang w:val="pt-BR"/>
        </w:rPr>
        <w:t>.</w:t>
      </w:r>
      <w:r w:rsidRPr="00DC6197">
        <w:rPr>
          <w:i/>
          <w:iCs/>
          <w:sz w:val="20"/>
          <w:szCs w:val="20"/>
          <w:lang w:val="pt-BR"/>
        </w:rPr>
        <w:t>...............</w:t>
      </w:r>
      <w:r w:rsidRPr="00DC6197">
        <w:rPr>
          <w:sz w:val="20"/>
          <w:szCs w:val="20"/>
          <w:lang w:val="pt-BR"/>
        </w:rPr>
        <w:t xml:space="preserve">   </w:t>
      </w:r>
      <w:r w:rsidRPr="00DC6197">
        <w:rPr>
          <w:lang w:val="pt-BR"/>
        </w:rPr>
        <w:t xml:space="preserve"> </w:t>
      </w:r>
      <w:r w:rsidRPr="00631BD7">
        <w:rPr>
          <w:lang w:val="pt-BR"/>
        </w:rPr>
        <w:t xml:space="preserve">       </w:t>
      </w:r>
    </w:p>
    <w:p w14:paraId="61344DED" w14:textId="77777777" w:rsidR="00D647D5" w:rsidRPr="00631BD7" w:rsidRDefault="00D647D5" w:rsidP="00303739">
      <w:pPr>
        <w:tabs>
          <w:tab w:val="right" w:leader="dot" w:pos="8505"/>
          <w:tab w:val="left" w:pos="8789"/>
        </w:tabs>
        <w:spacing w:before="0" w:after="0" w:line="240" w:lineRule="auto"/>
        <w:ind w:left="-57" w:right="-57" w:firstLine="698"/>
        <w:jc w:val="center"/>
        <w:rPr>
          <w:lang w:val="pt-BR"/>
        </w:rPr>
      </w:pPr>
      <w:r w:rsidRPr="00631BD7">
        <w:rPr>
          <w:lang w:val="pt-BR"/>
        </w:rPr>
        <w:t xml:space="preserve">                                                            </w:t>
      </w:r>
      <w:r w:rsidRPr="00631BD7">
        <w:rPr>
          <w:lang w:val="vi-VN"/>
        </w:rPr>
        <w:t xml:space="preserve">Kính </w:t>
      </w:r>
      <w:r w:rsidRPr="00631BD7">
        <w:rPr>
          <w:lang w:val="pt-BR"/>
        </w:rPr>
        <w:t>đơn</w:t>
      </w:r>
    </w:p>
    <w:p w14:paraId="2E9E5524" w14:textId="77777777" w:rsidR="00D647D5" w:rsidRPr="000E045D" w:rsidRDefault="00D647D5" w:rsidP="00303739">
      <w:pPr>
        <w:tabs>
          <w:tab w:val="left" w:pos="8789"/>
        </w:tabs>
        <w:spacing w:before="0" w:after="0" w:line="240" w:lineRule="auto"/>
        <w:ind w:left="-57" w:right="-57"/>
        <w:jc w:val="center"/>
        <w:rPr>
          <w:i/>
          <w:iCs/>
          <w:sz w:val="20"/>
          <w:szCs w:val="20"/>
          <w:lang w:val="pt-BR"/>
        </w:rPr>
      </w:pPr>
      <w:r w:rsidRPr="00211FA5">
        <w:rPr>
          <w:sz w:val="20"/>
          <w:szCs w:val="20"/>
          <w:lang w:val="pt-BR"/>
        </w:rPr>
        <w:t xml:space="preserve">                                                                  </w:t>
      </w:r>
      <w:r>
        <w:rPr>
          <w:sz w:val="20"/>
          <w:szCs w:val="20"/>
          <w:lang w:val="vi-VN"/>
        </w:rPr>
        <w:t xml:space="preserve">             </w:t>
      </w:r>
      <w:r w:rsidRPr="00211FA5">
        <w:rPr>
          <w:sz w:val="20"/>
          <w:szCs w:val="20"/>
          <w:lang w:val="pt-BR"/>
        </w:rPr>
        <w:t xml:space="preserve">     </w:t>
      </w:r>
      <w:r w:rsidRPr="00211FA5">
        <w:rPr>
          <w:i/>
          <w:iCs/>
          <w:sz w:val="20"/>
          <w:szCs w:val="20"/>
          <w:lang w:val="pt-BR"/>
        </w:rPr>
        <w:t xml:space="preserve">(ký tên) </w:t>
      </w:r>
    </w:p>
    <w:p w14:paraId="0B3509F7" w14:textId="77777777" w:rsidR="00D647D5" w:rsidRPr="00631BD7" w:rsidRDefault="00D647D5" w:rsidP="00303739">
      <w:pPr>
        <w:tabs>
          <w:tab w:val="left" w:pos="8789"/>
        </w:tabs>
        <w:spacing w:before="0" w:after="0" w:line="240" w:lineRule="auto"/>
        <w:ind w:left="-57" w:right="-57"/>
        <w:rPr>
          <w:lang w:val="pt-BR"/>
        </w:rPr>
      </w:pPr>
      <w:r>
        <w:rPr>
          <w:lang w:val="vi-VN"/>
        </w:rPr>
        <w:t xml:space="preserve">Xác nhận của </w:t>
      </w:r>
      <w:r w:rsidRPr="00631BD7">
        <w:rPr>
          <w:lang w:val="pt-BR"/>
        </w:rPr>
        <w:t xml:space="preserve">Linh mục Quản xứ </w:t>
      </w:r>
    </w:p>
    <w:p w14:paraId="1A7F76CF" w14:textId="26D5B9B9" w:rsidR="00407809" w:rsidRDefault="00D647D5" w:rsidP="00303739">
      <w:pPr>
        <w:tabs>
          <w:tab w:val="left" w:pos="8789"/>
        </w:tabs>
        <w:spacing w:before="0" w:after="0" w:line="240" w:lineRule="auto"/>
        <w:ind w:left="-57" w:right="-57"/>
        <w:rPr>
          <w:i/>
          <w:iCs/>
          <w:sz w:val="20"/>
          <w:szCs w:val="20"/>
          <w:lang w:val="pt-BR"/>
        </w:rPr>
      </w:pPr>
      <w:r w:rsidRPr="00211FA5">
        <w:rPr>
          <w:i/>
          <w:iCs/>
          <w:sz w:val="20"/>
          <w:szCs w:val="20"/>
          <w:lang w:val="pt-BR"/>
        </w:rPr>
        <w:t xml:space="preserve">       </w:t>
      </w:r>
      <w:r w:rsidR="0074402A">
        <w:rPr>
          <w:i/>
          <w:iCs/>
          <w:sz w:val="20"/>
          <w:szCs w:val="20"/>
          <w:lang w:val="vi-VN"/>
        </w:rPr>
        <w:t xml:space="preserve">    </w:t>
      </w:r>
      <w:r>
        <w:rPr>
          <w:i/>
          <w:iCs/>
          <w:sz w:val="20"/>
          <w:szCs w:val="20"/>
          <w:lang w:val="vi-VN"/>
        </w:rPr>
        <w:t xml:space="preserve">   </w:t>
      </w:r>
      <w:r w:rsidRPr="00211FA5">
        <w:rPr>
          <w:i/>
          <w:iCs/>
          <w:sz w:val="20"/>
          <w:szCs w:val="20"/>
          <w:lang w:val="pt-BR"/>
        </w:rPr>
        <w:t xml:space="preserve">(ký tên, đóng dấu) </w:t>
      </w:r>
    </w:p>
    <w:p w14:paraId="7042C891" w14:textId="77777777" w:rsidR="00407809" w:rsidRDefault="00407809">
      <w:pPr>
        <w:spacing w:line="240" w:lineRule="auto"/>
        <w:rPr>
          <w:i/>
          <w:iCs/>
          <w:sz w:val="20"/>
          <w:szCs w:val="20"/>
          <w:lang w:val="pt-BR"/>
        </w:rPr>
      </w:pPr>
      <w:r>
        <w:rPr>
          <w:i/>
          <w:iCs/>
          <w:sz w:val="20"/>
          <w:szCs w:val="20"/>
          <w:lang w:val="pt-BR"/>
        </w:rPr>
        <w:br w:type="page"/>
      </w:r>
    </w:p>
    <w:p w14:paraId="2B278994" w14:textId="359D3997" w:rsidR="00D647D5" w:rsidRPr="00407809" w:rsidRDefault="00407809" w:rsidP="00303739">
      <w:pPr>
        <w:tabs>
          <w:tab w:val="left" w:pos="8789"/>
        </w:tabs>
        <w:spacing w:before="0" w:after="0" w:line="240" w:lineRule="auto"/>
        <w:ind w:left="-57" w:right="-57"/>
        <w:rPr>
          <w:b/>
          <w:bCs/>
          <w:lang w:val="vi-VN"/>
        </w:rPr>
      </w:pPr>
      <w:r w:rsidRPr="00407809">
        <w:rPr>
          <w:b/>
          <w:bCs/>
          <w:lang w:val="vi-VN"/>
        </w:rPr>
        <w:lastRenderedPageBreak/>
        <w:t>Tài liệu tham khảo</w:t>
      </w:r>
    </w:p>
    <w:p w14:paraId="69C2813B" w14:textId="77777777" w:rsidR="0014160B" w:rsidRPr="00407809"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6E5DB7">
        <w:rPr>
          <w:lang w:val="pt-BR"/>
        </w:rPr>
        <w:t>BỘ GIÁO LUẬT 1983, Bản dịch của Hội đồng Giám mục Việt Nam, Nxb. Tôn Giáo, Hà Nội, 2016.</w:t>
      </w:r>
    </w:p>
    <w:p w14:paraId="65E49E61" w14:textId="77777777" w:rsidR="0014160B" w:rsidRPr="00407809"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6E5DB7">
        <w:t xml:space="preserve">CODE DE DROIT CANONIQUE ANNOTE, Traduction et adaptation française des commentaires de l’Université pontificale de Salamanque, publiés sous la direction du Professeur Lamberto de ECHEVERRIA, Cerf </w:t>
      </w:r>
      <w:r>
        <w:t>/</w:t>
      </w:r>
      <w:r w:rsidRPr="006E5DB7">
        <w:t>Tardy, 1989</w:t>
      </w:r>
      <w:r>
        <w:rPr>
          <w:lang w:val="vi-VN"/>
        </w:rPr>
        <w:t>.</w:t>
      </w:r>
    </w:p>
    <w:p w14:paraId="0E9CE94D" w14:textId="77777777" w:rsidR="0014160B" w:rsidRPr="006E5DB7"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rPr>
      </w:pPr>
      <w:r w:rsidRPr="00407809">
        <w:rPr>
          <w:lang w:val="pt-BR"/>
        </w:rPr>
        <w:t xml:space="preserve">CÔNG ĐỒNG VATICAN II,  Bản dịch của Ủy ban Giáo lý Đức Tin, trực thuộc HĐGM Việt Nam, Nxb. </w:t>
      </w:r>
      <w:r w:rsidRPr="006E5DB7">
        <w:t>Tôn giáo, 2012.</w:t>
      </w:r>
    </w:p>
    <w:p w14:paraId="34AEDE54" w14:textId="77777777" w:rsidR="0014160B" w:rsidRPr="00126DA6"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rPr>
      </w:pPr>
      <w:r w:rsidRPr="00126DA6">
        <w:t>DENZINGER, Lm</w:t>
      </w:r>
      <w:r>
        <w:rPr>
          <w:lang w:val="vi-VN"/>
        </w:rPr>
        <w:t xml:space="preserve">. </w:t>
      </w:r>
      <w:r w:rsidRPr="00126DA6">
        <w:t>NGUYỄN VĂN HÒA chuyển ngữ, Nxb. Tôn giáo, 2019</w:t>
      </w:r>
      <w:r>
        <w:rPr>
          <w:lang w:val="vi-VN"/>
        </w:rPr>
        <w:t>.</w:t>
      </w:r>
    </w:p>
    <w:p w14:paraId="33940E90" w14:textId="77777777" w:rsidR="0014160B" w:rsidRPr="00407809"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6E5DB7">
        <w:rPr>
          <w:lang w:val="pt-BR"/>
        </w:rPr>
        <w:t xml:space="preserve">ĐGH Gioan Phaolô II, Tông Huấn </w:t>
      </w:r>
      <w:r w:rsidRPr="006E5DB7">
        <w:rPr>
          <w:i/>
          <w:iCs/>
          <w:lang w:val="pt-BR"/>
        </w:rPr>
        <w:t xml:space="preserve">Familiaris Consortio về những bổn phận của gia đình Kitô hữu, </w:t>
      </w:r>
      <w:r w:rsidRPr="006E5DB7">
        <w:rPr>
          <w:lang w:val="pt-BR"/>
        </w:rPr>
        <w:t>Ủy Ban Mục Vụ Gia Đình, Hội Đồng Giám Mục Việt Nam, Nxb. Tôn Giáo, 2011</w:t>
      </w:r>
      <w:r>
        <w:rPr>
          <w:lang w:val="vi-VN"/>
        </w:rPr>
        <w:t>.</w:t>
      </w:r>
    </w:p>
    <w:p w14:paraId="51FF802E" w14:textId="77777777" w:rsidR="0014160B" w:rsidRPr="00CA5801" w:rsidRDefault="0014160B" w:rsidP="007B5FF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CA5801">
        <w:rPr>
          <w:i/>
          <w:iCs/>
          <w:lang w:val="pt-BR"/>
        </w:rPr>
        <w:t xml:space="preserve">Giáo luật về Hôn nhân, </w:t>
      </w:r>
      <w:r w:rsidRPr="00CA5801">
        <w:rPr>
          <w:lang w:val="pt-BR"/>
        </w:rPr>
        <w:t>ĐCV Huế.</w:t>
      </w:r>
    </w:p>
    <w:p w14:paraId="51E544B1" w14:textId="77777777" w:rsidR="0014160B" w:rsidRPr="00126DA6"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407809">
        <w:rPr>
          <w:lang w:val="pt-BR"/>
        </w:rPr>
        <w:t>Giáo Lý Hội Thánh Công Giáo, Bản dịch 1997, Nxb. Tp.</w:t>
      </w:r>
      <w:r>
        <w:rPr>
          <w:lang w:val="vi-VN"/>
        </w:rPr>
        <w:t xml:space="preserve"> </w:t>
      </w:r>
      <w:r w:rsidRPr="00126DA6">
        <w:rPr>
          <w:lang w:val="pt-BR"/>
        </w:rPr>
        <w:t>HCM, 2018.</w:t>
      </w:r>
    </w:p>
    <w:p w14:paraId="63892E4A" w14:textId="77777777" w:rsidR="0014160B" w:rsidRPr="00126DA6"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pt-BR"/>
        </w:rPr>
      </w:pPr>
      <w:r w:rsidRPr="00126DA6">
        <w:rPr>
          <w:lang w:val="pt-BR"/>
        </w:rPr>
        <w:t xml:space="preserve">LÊ Ngọc Dũng, </w:t>
      </w:r>
      <w:r w:rsidRPr="00126DA6">
        <w:rPr>
          <w:i/>
          <w:iCs/>
          <w:lang w:val="pt-BR"/>
        </w:rPr>
        <w:t xml:space="preserve">Cẩm Nang Mục Vụ Giáo Luật Bí Tích Hôn Nhân, </w:t>
      </w:r>
      <w:r w:rsidRPr="00126DA6">
        <w:rPr>
          <w:lang w:val="pt-BR"/>
        </w:rPr>
        <w:t>Nxb. Tôn Giáo, 2017.</w:t>
      </w:r>
    </w:p>
    <w:p w14:paraId="20C1AD9E" w14:textId="77777777" w:rsidR="0014160B" w:rsidRPr="00407809" w:rsidRDefault="0014160B" w:rsidP="0040780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en-GB"/>
        </w:rPr>
      </w:pPr>
      <w:r w:rsidRPr="00407809">
        <w:rPr>
          <w:i/>
          <w:iCs/>
          <w:lang w:val="en-GB"/>
        </w:rPr>
        <w:t>New Commentary on the Code of Canon law</w:t>
      </w:r>
      <w:r w:rsidRPr="00407809">
        <w:rPr>
          <w:lang w:val="en-GB"/>
        </w:rPr>
        <w:t>, Commissioned by The Canon Law Society of America, Edited by John P. Beal, James A. Coriden, Thomas J. Green, Study Edition, Pauliste Press New York, N.Y/Mahwah, N.J, 2000.</w:t>
      </w:r>
    </w:p>
    <w:p w14:paraId="412E4CFB" w14:textId="77777777" w:rsidR="0014160B" w:rsidRPr="007B5FF9" w:rsidRDefault="0014160B" w:rsidP="007B5FF9">
      <w:pPr>
        <w:pStyle w:val="Paragraphedeliste"/>
        <w:numPr>
          <w:ilvl w:val="0"/>
          <w:numId w:val="10"/>
        </w:numPr>
        <w:spacing w:line="240" w:lineRule="auto"/>
        <w:ind w:left="426" w:hanging="426"/>
        <w:contextualSpacing w:val="0"/>
        <w:jc w:val="both"/>
        <w:rPr>
          <w:rFonts w:asciiTheme="minorHAnsi" w:eastAsiaTheme="majorEastAsia" w:hAnsiTheme="minorHAnsi" w:cstheme="minorHAnsi"/>
          <w:b/>
          <w:bCs/>
          <w:lang w:val="en-GB"/>
        </w:rPr>
      </w:pPr>
      <w:r w:rsidRPr="00407809">
        <w:rPr>
          <w:lang w:val="pt-BR"/>
        </w:rPr>
        <w:t xml:space="preserve">NGUYỄN Bình Tĩnh, </w:t>
      </w:r>
      <w:r w:rsidRPr="00407809">
        <w:rPr>
          <w:i/>
          <w:iCs/>
          <w:lang w:val="pt-BR"/>
        </w:rPr>
        <w:t xml:space="preserve">Hôn nhân Kitô Giáo, </w:t>
      </w:r>
      <w:r w:rsidRPr="00407809">
        <w:rPr>
          <w:lang w:val="pt-BR"/>
        </w:rPr>
        <w:t>Nxb. Thuận Hóa, 1995.</w:t>
      </w:r>
    </w:p>
    <w:p w14:paraId="3EC044EC" w14:textId="77777777" w:rsidR="007B5FF9" w:rsidRPr="007B5FF9" w:rsidRDefault="007B5FF9" w:rsidP="007B5FF9">
      <w:pPr>
        <w:spacing w:line="240" w:lineRule="auto"/>
        <w:jc w:val="both"/>
        <w:rPr>
          <w:rFonts w:asciiTheme="minorHAnsi" w:eastAsiaTheme="majorEastAsia" w:hAnsiTheme="minorHAnsi" w:cstheme="minorHAnsi"/>
          <w:b/>
          <w:bCs/>
          <w:lang w:val="en-GB"/>
        </w:rPr>
      </w:pPr>
    </w:p>
    <w:sectPr w:rsidR="007B5FF9" w:rsidRPr="007B5FF9" w:rsidSect="00AF588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7092" w14:textId="77777777" w:rsidR="00C34367" w:rsidRDefault="00C34367" w:rsidP="00EC7F80">
      <w:pPr>
        <w:spacing w:before="0" w:after="0" w:line="240" w:lineRule="auto"/>
      </w:pPr>
      <w:r>
        <w:separator/>
      </w:r>
    </w:p>
  </w:endnote>
  <w:endnote w:type="continuationSeparator" w:id="0">
    <w:p w14:paraId="315FB7DE" w14:textId="77777777" w:rsidR="00C34367" w:rsidRDefault="00C34367" w:rsidP="00EC7F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16018"/>
      <w:docPartObj>
        <w:docPartGallery w:val="Page Numbers (Bottom of Page)"/>
        <w:docPartUnique/>
      </w:docPartObj>
    </w:sdtPr>
    <w:sdtEndPr/>
    <w:sdtContent>
      <w:p w14:paraId="507292E1" w14:textId="117D9803" w:rsidR="00EE34A9" w:rsidRDefault="00EE34A9">
        <w:pPr>
          <w:pStyle w:val="Pieddepage"/>
          <w:jc w:val="center"/>
        </w:pPr>
        <w:r>
          <w:fldChar w:fldCharType="begin"/>
        </w:r>
        <w:r>
          <w:instrText>PAGE   \* MERGEFORMAT</w:instrText>
        </w:r>
        <w:r>
          <w:fldChar w:fldCharType="separate"/>
        </w:r>
        <w:r>
          <w:t>2</w:t>
        </w:r>
        <w:r>
          <w:fldChar w:fldCharType="end"/>
        </w:r>
      </w:p>
    </w:sdtContent>
  </w:sdt>
  <w:p w14:paraId="2B652A95" w14:textId="77777777" w:rsidR="00EE34A9" w:rsidRDefault="00EE34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4C2D" w14:textId="77777777" w:rsidR="00C34367" w:rsidRDefault="00C34367" w:rsidP="00EC7F80">
      <w:pPr>
        <w:spacing w:before="0" w:after="0" w:line="240" w:lineRule="auto"/>
      </w:pPr>
      <w:r>
        <w:separator/>
      </w:r>
    </w:p>
  </w:footnote>
  <w:footnote w:type="continuationSeparator" w:id="0">
    <w:p w14:paraId="709E4447" w14:textId="77777777" w:rsidR="00C34367" w:rsidRDefault="00C34367" w:rsidP="00EC7F80">
      <w:pPr>
        <w:spacing w:before="0" w:after="0" w:line="240" w:lineRule="auto"/>
      </w:pPr>
      <w:r>
        <w:continuationSeparator/>
      </w:r>
    </w:p>
  </w:footnote>
  <w:footnote w:id="1">
    <w:p w14:paraId="025A7707" w14:textId="03F9A8F9" w:rsidR="00B149ED" w:rsidRPr="00195E08" w:rsidRDefault="00B149ED" w:rsidP="00B149ED">
      <w:pPr>
        <w:pStyle w:val="Notedebasdepage"/>
        <w:jc w:val="both"/>
        <w:rPr>
          <w:lang w:val="en-GB"/>
        </w:rPr>
      </w:pPr>
      <w:r w:rsidRPr="0066591F">
        <w:rPr>
          <w:rStyle w:val="Appelnotedebasdep"/>
        </w:rPr>
        <w:footnoteRef/>
      </w:r>
      <w:r w:rsidRPr="00195E08">
        <w:rPr>
          <w:lang w:val="en-GB"/>
        </w:rPr>
        <w:t xml:space="preserve"> DENZINGER, Công Đồng Trentô, </w:t>
      </w:r>
      <w:r w:rsidRPr="00195E08">
        <w:rPr>
          <w:i/>
          <w:iCs/>
          <w:lang w:val="en-GB"/>
        </w:rPr>
        <w:t xml:space="preserve">Điều luật khoản về Bí tích Hôn phối, </w:t>
      </w:r>
      <w:r w:rsidRPr="00195E08">
        <w:rPr>
          <w:lang w:val="en-GB"/>
        </w:rPr>
        <w:t>điều 8, khóa 24, 11/11/1563: «</w:t>
      </w:r>
      <w:r w:rsidRPr="00195E08">
        <w:rPr>
          <w:i/>
          <w:iCs/>
          <w:lang w:val="en-GB"/>
        </w:rPr>
        <w:t>Kẻ nào nói rằng có thể tiêu hủy mối ràng buộc hôn nhân vì lý do lạc đạo, chung sống khó khăn hoặc vợ chồng cố ý vắng mặt, kẻ đó phải bị trục xuất</w:t>
      </w:r>
      <w:r w:rsidRPr="00195E08">
        <w:rPr>
          <w:lang w:val="en-GB"/>
        </w:rPr>
        <w:t>». Lm NGUYỄN VĂN HÒA chuyển ngữ, Nxb. Tôn giáo, 2019, trg.604.</w:t>
      </w:r>
    </w:p>
  </w:footnote>
  <w:footnote w:id="2">
    <w:p w14:paraId="6395068E" w14:textId="6F412FFD" w:rsidR="00B149ED" w:rsidRPr="002741E3" w:rsidRDefault="00B149ED" w:rsidP="00B149ED">
      <w:pPr>
        <w:pStyle w:val="Notedebasdepage"/>
        <w:rPr>
          <w:lang w:val="en-GB"/>
        </w:rPr>
      </w:pPr>
      <w:r>
        <w:rPr>
          <w:rStyle w:val="Appelnotedebasdep"/>
        </w:rPr>
        <w:footnoteRef/>
      </w:r>
      <w:r w:rsidRPr="002741E3">
        <w:rPr>
          <w:lang w:val="en-GB"/>
        </w:rPr>
        <w:t xml:space="preserve"> C</w:t>
      </w:r>
      <w:r w:rsidR="00245254">
        <w:rPr>
          <w:lang w:val="vi-VN"/>
        </w:rPr>
        <w:t>f. BGL</w:t>
      </w:r>
      <w:r w:rsidRPr="002741E3">
        <w:rPr>
          <w:lang w:val="en-GB"/>
        </w:rPr>
        <w:t xml:space="preserve">/83, </w:t>
      </w:r>
      <w:r>
        <w:rPr>
          <w:lang w:val="en-GB"/>
        </w:rPr>
        <w:t>đ.1692-1696.</w:t>
      </w:r>
    </w:p>
  </w:footnote>
  <w:footnote w:id="3">
    <w:p w14:paraId="6152073F" w14:textId="21774065" w:rsidR="00EC7F80" w:rsidRPr="001F0FE7" w:rsidRDefault="00EC7F80" w:rsidP="00EC7F80">
      <w:pPr>
        <w:pStyle w:val="Notedebasdepage"/>
        <w:rPr>
          <w:lang w:val="en-GB"/>
        </w:rPr>
      </w:pPr>
      <w:r>
        <w:rPr>
          <w:rStyle w:val="Appelnotedebasdep"/>
        </w:rPr>
        <w:footnoteRef/>
      </w:r>
      <w:r w:rsidRPr="001F0FE7">
        <w:rPr>
          <w:lang w:val="en-GB"/>
        </w:rPr>
        <w:t xml:space="preserve"> </w:t>
      </w:r>
      <w:r>
        <w:rPr>
          <w:lang w:val="en-GB"/>
        </w:rPr>
        <w:t xml:space="preserve">Cf. </w:t>
      </w:r>
      <w:r w:rsidR="00245254">
        <w:rPr>
          <w:lang w:val="vi-VN"/>
        </w:rPr>
        <w:t>BGL</w:t>
      </w:r>
      <w:r>
        <w:rPr>
          <w:lang w:val="en-GB"/>
        </w:rPr>
        <w:t>/83, đ.</w:t>
      </w:r>
      <w:r w:rsidRPr="001F0FE7">
        <w:rPr>
          <w:lang w:val="en-GB"/>
        </w:rPr>
        <w:t>1152-1153.</w:t>
      </w:r>
    </w:p>
  </w:footnote>
  <w:footnote w:id="4">
    <w:p w14:paraId="22ECD6B4" w14:textId="6595107B" w:rsidR="00EC7F80" w:rsidRPr="001F0FE7" w:rsidRDefault="00EC7F80" w:rsidP="00EC7F80">
      <w:pPr>
        <w:pStyle w:val="Notedebasdepage"/>
        <w:rPr>
          <w:lang w:val="en-GB"/>
        </w:rPr>
      </w:pPr>
      <w:r>
        <w:rPr>
          <w:rStyle w:val="Appelnotedebasdep"/>
        </w:rPr>
        <w:footnoteRef/>
      </w:r>
      <w:r w:rsidRPr="001F0FE7">
        <w:rPr>
          <w:lang w:val="en-GB"/>
        </w:rPr>
        <w:t xml:space="preserve"> </w:t>
      </w:r>
      <w:r>
        <w:rPr>
          <w:lang w:val="en-GB"/>
        </w:rPr>
        <w:t xml:space="preserve">Cf. </w:t>
      </w:r>
      <w:r w:rsidR="00245254">
        <w:rPr>
          <w:lang w:val="vi-VN"/>
        </w:rPr>
        <w:t>BGL</w:t>
      </w:r>
      <w:r>
        <w:rPr>
          <w:lang w:val="en-GB"/>
        </w:rPr>
        <w:t xml:space="preserve">/83, </w:t>
      </w:r>
      <w:r w:rsidRPr="002E4731">
        <w:rPr>
          <w:lang w:val="en-GB"/>
        </w:rPr>
        <w:t>đ.1152.</w:t>
      </w:r>
    </w:p>
  </w:footnote>
  <w:footnote w:id="5">
    <w:p w14:paraId="72F5708F" w14:textId="4AAA8482" w:rsidR="00EC7F80" w:rsidRPr="002E4731" w:rsidRDefault="00EC7F80" w:rsidP="00EC7F80">
      <w:pPr>
        <w:pStyle w:val="Notedebasdepage"/>
        <w:rPr>
          <w:lang w:val="en-GB"/>
        </w:rPr>
      </w:pPr>
      <w:r>
        <w:rPr>
          <w:rStyle w:val="Appelnotedebasdep"/>
        </w:rPr>
        <w:footnoteRef/>
      </w:r>
      <w:r w:rsidRPr="002E4731">
        <w:rPr>
          <w:lang w:val="en-GB"/>
        </w:rPr>
        <w:t xml:space="preserve"> </w:t>
      </w:r>
      <w:r w:rsidR="00245254">
        <w:rPr>
          <w:lang w:val="vi-VN"/>
        </w:rPr>
        <w:t>Cf. BGL</w:t>
      </w:r>
      <w:r>
        <w:rPr>
          <w:lang w:val="en-GB"/>
        </w:rPr>
        <w:t xml:space="preserve">/83, </w:t>
      </w:r>
      <w:r w:rsidRPr="00A50865">
        <w:rPr>
          <w:lang w:val="en-GB"/>
        </w:rPr>
        <w:t>đ.1153 §2.</w:t>
      </w:r>
    </w:p>
  </w:footnote>
  <w:footnote w:id="6">
    <w:p w14:paraId="4CEC0E7E" w14:textId="77777777" w:rsidR="00EC7F80" w:rsidRPr="00195E08" w:rsidRDefault="00EC7F80" w:rsidP="00EC7F80">
      <w:pPr>
        <w:pStyle w:val="Notedebasdepage"/>
        <w:jc w:val="both"/>
        <w:rPr>
          <w:lang w:val="en-GB"/>
        </w:rPr>
      </w:pPr>
      <w:r w:rsidRPr="0066591F">
        <w:rPr>
          <w:rStyle w:val="Appelnotedebasdep"/>
        </w:rPr>
        <w:footnoteRef/>
      </w:r>
      <w:r w:rsidRPr="00195E08">
        <w:rPr>
          <w:lang w:val="en-GB"/>
        </w:rPr>
        <w:t xml:space="preserve"> Cf. ĐGM Phaolô NGUYỄN BÌNH TĨNH, </w:t>
      </w:r>
      <w:r w:rsidRPr="00195E08">
        <w:rPr>
          <w:i/>
          <w:iCs/>
          <w:lang w:val="en-GB"/>
        </w:rPr>
        <w:t xml:space="preserve">Hôn nhân Kitô Giáo, </w:t>
      </w:r>
      <w:r w:rsidRPr="00195E08">
        <w:rPr>
          <w:lang w:val="en-GB"/>
        </w:rPr>
        <w:t>Nxb. Thuận Hóa, 1995, trg.132-133.</w:t>
      </w:r>
    </w:p>
  </w:footnote>
  <w:footnote w:id="7">
    <w:p w14:paraId="16F4CB06" w14:textId="7C637250" w:rsidR="00EC7F80" w:rsidRPr="0038317C" w:rsidRDefault="00EC7F80" w:rsidP="00EC7F80">
      <w:pPr>
        <w:pStyle w:val="Notedebasdepage"/>
        <w:rPr>
          <w:lang w:val="en-GB"/>
        </w:rPr>
      </w:pPr>
      <w:r>
        <w:rPr>
          <w:rStyle w:val="Appelnotedebasdep"/>
        </w:rPr>
        <w:footnoteRef/>
      </w:r>
      <w:r w:rsidRPr="0038317C">
        <w:rPr>
          <w:lang w:val="en-GB"/>
        </w:rPr>
        <w:t xml:space="preserve"> </w:t>
      </w:r>
      <w:r>
        <w:rPr>
          <w:lang w:val="en-GB"/>
        </w:rPr>
        <w:t xml:space="preserve">Cf. </w:t>
      </w:r>
      <w:r w:rsidR="00245254">
        <w:rPr>
          <w:lang w:val="vi-VN"/>
        </w:rPr>
        <w:t>BGL</w:t>
      </w:r>
      <w:r>
        <w:rPr>
          <w:lang w:val="en-GB"/>
        </w:rPr>
        <w:t xml:space="preserve">/83, </w:t>
      </w:r>
      <w:r w:rsidRPr="00C23587">
        <w:rPr>
          <w:lang w:val="en-GB"/>
        </w:rPr>
        <w:t>đ.1692 §2.</w:t>
      </w:r>
    </w:p>
  </w:footnote>
  <w:footnote w:id="8">
    <w:p w14:paraId="481D5116" w14:textId="79CA199B" w:rsidR="00EC7F80" w:rsidRPr="00C23587" w:rsidRDefault="00EC7F80" w:rsidP="00EC7F80">
      <w:pPr>
        <w:pStyle w:val="Notedebasdepage"/>
        <w:rPr>
          <w:lang w:val="en-GB"/>
        </w:rPr>
      </w:pPr>
      <w:r>
        <w:rPr>
          <w:rStyle w:val="Appelnotedebasdep"/>
        </w:rPr>
        <w:footnoteRef/>
      </w:r>
      <w:r w:rsidRPr="00C23587">
        <w:rPr>
          <w:lang w:val="en-GB"/>
        </w:rPr>
        <w:t xml:space="preserve"> </w:t>
      </w:r>
      <w:r>
        <w:rPr>
          <w:lang w:val="en-GB"/>
        </w:rPr>
        <w:t xml:space="preserve">Cf. </w:t>
      </w:r>
      <w:r w:rsidR="00245254">
        <w:rPr>
          <w:lang w:val="vi-VN"/>
        </w:rPr>
        <w:t>BGL</w:t>
      </w:r>
      <w:r>
        <w:rPr>
          <w:lang w:val="en-GB"/>
        </w:rPr>
        <w:t>/83, đ.1153 §1.</w:t>
      </w:r>
    </w:p>
  </w:footnote>
  <w:footnote w:id="9">
    <w:p w14:paraId="27BCA3C4" w14:textId="6B3E0291" w:rsidR="00EC7F80" w:rsidRPr="00C23587" w:rsidRDefault="00EC7F80" w:rsidP="00EC7F80">
      <w:pPr>
        <w:pStyle w:val="Notedebasdepage"/>
        <w:rPr>
          <w:lang w:val="en-GB"/>
        </w:rPr>
      </w:pPr>
      <w:r>
        <w:rPr>
          <w:rStyle w:val="Appelnotedebasdep"/>
        </w:rPr>
        <w:footnoteRef/>
      </w:r>
      <w:r w:rsidRPr="00C23587">
        <w:rPr>
          <w:lang w:val="en-GB"/>
        </w:rPr>
        <w:t xml:space="preserve"> </w:t>
      </w:r>
      <w:r>
        <w:rPr>
          <w:lang w:val="en-GB"/>
        </w:rPr>
        <w:t xml:space="preserve">Cf. </w:t>
      </w:r>
      <w:r w:rsidR="00245254">
        <w:rPr>
          <w:lang w:val="vi-VN"/>
        </w:rPr>
        <w:t>BGL</w:t>
      </w:r>
      <w:r>
        <w:rPr>
          <w:lang w:val="en-GB"/>
        </w:rPr>
        <w:t>/83, đ.</w:t>
      </w:r>
      <w:r w:rsidRPr="007730EC">
        <w:rPr>
          <w:lang w:val="en-GB"/>
        </w:rPr>
        <w:t>1692 §2.</w:t>
      </w:r>
    </w:p>
  </w:footnote>
  <w:footnote w:id="10">
    <w:p w14:paraId="0AE369D4" w14:textId="4C0B0698" w:rsidR="00EC7F80" w:rsidRPr="007730EC" w:rsidRDefault="00EC7F80" w:rsidP="00B263B6">
      <w:pPr>
        <w:pStyle w:val="Notedebasdepage"/>
        <w:jc w:val="both"/>
        <w:rPr>
          <w:lang w:val="en-GB"/>
        </w:rPr>
      </w:pPr>
      <w:r>
        <w:rPr>
          <w:rStyle w:val="Appelnotedebasdep"/>
        </w:rPr>
        <w:footnoteRef/>
      </w:r>
      <w:r w:rsidRPr="007730EC">
        <w:rPr>
          <w:lang w:val="en-GB"/>
        </w:rPr>
        <w:t xml:space="preserve"> </w:t>
      </w:r>
      <w:r>
        <w:rPr>
          <w:lang w:val="en-GB"/>
        </w:rPr>
        <w:t xml:space="preserve">Cf. </w:t>
      </w:r>
      <w:r w:rsidR="00B263B6">
        <w:rPr>
          <w:lang w:val="vi-VN"/>
        </w:rPr>
        <w:t>BGL</w:t>
      </w:r>
      <w:r>
        <w:rPr>
          <w:lang w:val="en-GB"/>
        </w:rPr>
        <w:t>/83, đ</w:t>
      </w:r>
      <w:r w:rsidRPr="00A50865">
        <w:rPr>
          <w:lang w:val="en-GB"/>
        </w:rPr>
        <w:t>.1692.</w:t>
      </w:r>
    </w:p>
  </w:footnote>
  <w:footnote w:id="11">
    <w:p w14:paraId="515F9267" w14:textId="112F79B5" w:rsidR="00EC7F80" w:rsidRPr="00195E08" w:rsidRDefault="00EC7F80" w:rsidP="00EC7F80">
      <w:pPr>
        <w:pStyle w:val="Notedebasdepage"/>
        <w:rPr>
          <w:sz w:val="24"/>
          <w:szCs w:val="24"/>
          <w:lang w:val="en-GB"/>
        </w:rPr>
      </w:pPr>
      <w:r w:rsidRPr="0066591F">
        <w:rPr>
          <w:rStyle w:val="Appelnotedebasdep"/>
        </w:rPr>
        <w:footnoteRef/>
      </w:r>
      <w:r w:rsidRPr="00195E08">
        <w:rPr>
          <w:lang w:val="en-GB"/>
        </w:rPr>
        <w:t xml:space="preserve"> Cf. LÊ NGỌC DŨNG, </w:t>
      </w:r>
      <w:r w:rsidRPr="00195E08">
        <w:rPr>
          <w:i/>
          <w:iCs/>
          <w:lang w:val="en-GB"/>
        </w:rPr>
        <w:t xml:space="preserve">Cẩm Nang Mục Vụ Giáo Luật Bí Tích Hôn Nhân, </w:t>
      </w:r>
      <w:r w:rsidRPr="00195E08">
        <w:rPr>
          <w:lang w:val="en-GB"/>
        </w:rPr>
        <w:t>Nxb. Tôn giáo, 2017, trg.137-138.</w:t>
      </w:r>
    </w:p>
  </w:footnote>
  <w:footnote w:id="12">
    <w:p w14:paraId="5A804F96" w14:textId="00C1328E" w:rsidR="00EC7F80" w:rsidRPr="00BD5989" w:rsidRDefault="00EC7F80" w:rsidP="00EC7F80">
      <w:pPr>
        <w:pStyle w:val="Notedebasdepage"/>
        <w:rPr>
          <w:lang w:val="en-GB"/>
        </w:rPr>
      </w:pPr>
      <w:r>
        <w:rPr>
          <w:rStyle w:val="Appelnotedebasdep"/>
        </w:rPr>
        <w:footnoteRef/>
      </w:r>
      <w:r w:rsidRPr="00BD5989">
        <w:rPr>
          <w:lang w:val="en-GB"/>
        </w:rPr>
        <w:t xml:space="preserve"> </w:t>
      </w:r>
      <w:r>
        <w:rPr>
          <w:lang w:val="en-GB"/>
        </w:rPr>
        <w:t xml:space="preserve">Cf. </w:t>
      </w:r>
      <w:r w:rsidR="00B263B6">
        <w:rPr>
          <w:lang w:val="vi-VN"/>
        </w:rPr>
        <w:t>BGL</w:t>
      </w:r>
      <w:r>
        <w:rPr>
          <w:lang w:val="en-GB"/>
        </w:rPr>
        <w:t>/83, đ.</w:t>
      </w:r>
      <w:r w:rsidRPr="008678F4">
        <w:rPr>
          <w:lang w:val="en-GB"/>
        </w:rPr>
        <w:t>1153 §1.</w:t>
      </w:r>
    </w:p>
  </w:footnote>
  <w:footnote w:id="13">
    <w:p w14:paraId="077A02FD" w14:textId="11379F64" w:rsidR="00EC7F80" w:rsidRPr="0019574E" w:rsidRDefault="00EC7F80" w:rsidP="00EC7F80">
      <w:pPr>
        <w:pStyle w:val="Notedebasdepage"/>
        <w:rPr>
          <w:lang w:val="en-GB"/>
        </w:rPr>
      </w:pPr>
      <w:r>
        <w:rPr>
          <w:rStyle w:val="Appelnotedebasdep"/>
        </w:rPr>
        <w:footnoteRef/>
      </w:r>
      <w:r w:rsidRPr="0019574E">
        <w:rPr>
          <w:lang w:val="en-GB"/>
        </w:rPr>
        <w:t xml:space="preserve"> </w:t>
      </w:r>
      <w:r w:rsidR="00B263B6">
        <w:rPr>
          <w:lang w:val="vi-VN"/>
        </w:rPr>
        <w:t xml:space="preserve">Sách </w:t>
      </w:r>
      <w:r w:rsidRPr="0019574E">
        <w:rPr>
          <w:lang w:val="en-GB"/>
        </w:rPr>
        <w:t>GLHTCG, s</w:t>
      </w:r>
      <w:r>
        <w:rPr>
          <w:lang w:val="en-GB"/>
        </w:rPr>
        <w:t>ố 2383.</w:t>
      </w:r>
    </w:p>
  </w:footnote>
  <w:footnote w:id="14">
    <w:p w14:paraId="6ED1610D" w14:textId="0B575737" w:rsidR="00EC7F80" w:rsidRPr="008678F4" w:rsidRDefault="00EC7F80" w:rsidP="00EC7F80">
      <w:pPr>
        <w:pStyle w:val="Notedebasdepage"/>
        <w:rPr>
          <w:lang w:val="en-GB"/>
        </w:rPr>
      </w:pPr>
      <w:r>
        <w:rPr>
          <w:rStyle w:val="Appelnotedebasdep"/>
        </w:rPr>
        <w:footnoteRef/>
      </w:r>
      <w:r w:rsidRPr="008678F4">
        <w:rPr>
          <w:lang w:val="en-GB"/>
        </w:rPr>
        <w:t xml:space="preserve"> </w:t>
      </w:r>
      <w:r>
        <w:rPr>
          <w:lang w:val="en-GB"/>
        </w:rPr>
        <w:t xml:space="preserve">Cf. </w:t>
      </w:r>
      <w:r w:rsidR="00B263B6">
        <w:rPr>
          <w:lang w:val="vi-VN"/>
        </w:rPr>
        <w:t>BGL</w:t>
      </w:r>
      <w:r>
        <w:rPr>
          <w:lang w:val="en-GB"/>
        </w:rPr>
        <w:t xml:space="preserve">/83, </w:t>
      </w:r>
      <w:r w:rsidRPr="008678F4">
        <w:rPr>
          <w:lang w:val="en-GB"/>
        </w:rPr>
        <w:t>đ.1152, 1153, 1692 §2</w:t>
      </w:r>
      <w:r>
        <w:rPr>
          <w:lang w:val="en-GB"/>
        </w:rPr>
        <w:t>.</w:t>
      </w:r>
    </w:p>
  </w:footnote>
  <w:footnote w:id="15">
    <w:p w14:paraId="718511F3" w14:textId="6AADF065" w:rsidR="00EC7F80" w:rsidRPr="00195E08" w:rsidRDefault="00EC7F80" w:rsidP="00EC7F80">
      <w:pPr>
        <w:pStyle w:val="Notedebasdepage"/>
        <w:jc w:val="both"/>
        <w:rPr>
          <w:lang w:val="en-GB"/>
        </w:rPr>
      </w:pPr>
      <w:r w:rsidRPr="0066591F">
        <w:rPr>
          <w:rStyle w:val="Appelnotedebasdep"/>
        </w:rPr>
        <w:footnoteRef/>
      </w:r>
      <w:r w:rsidRPr="00195E08">
        <w:rPr>
          <w:lang w:val="en-GB"/>
        </w:rPr>
        <w:t xml:space="preserve"> </w:t>
      </w:r>
      <w:r w:rsidR="001A5D16">
        <w:rPr>
          <w:i/>
          <w:iCs/>
          <w:lang w:val="vi-VN"/>
        </w:rPr>
        <w:t>Ibid</w:t>
      </w:r>
      <w:r w:rsidRPr="00195E08">
        <w:rPr>
          <w:lang w:val="en-GB"/>
        </w:rPr>
        <w:t xml:space="preserve">, trg. 38-39. </w:t>
      </w:r>
    </w:p>
  </w:footnote>
  <w:footnote w:id="16">
    <w:p w14:paraId="190E9C94" w14:textId="77777777" w:rsidR="00EC7F80" w:rsidRPr="00195E08" w:rsidRDefault="00EC7F80" w:rsidP="00EC7F80">
      <w:pPr>
        <w:pStyle w:val="Notedebasdepage"/>
        <w:jc w:val="both"/>
        <w:rPr>
          <w:lang w:val="en-GB"/>
        </w:rPr>
      </w:pPr>
      <w:r w:rsidRPr="0066591F">
        <w:rPr>
          <w:rStyle w:val="Appelnotedebasdep"/>
        </w:rPr>
        <w:footnoteRef/>
      </w:r>
      <w:r w:rsidRPr="00195E08">
        <w:rPr>
          <w:lang w:val="en-GB"/>
        </w:rPr>
        <w:t xml:space="preserve"> Cf. ĐGM Phaolô NGUYỄN BÌNH TĨNH, </w:t>
      </w:r>
      <w:r w:rsidRPr="00195E08">
        <w:rPr>
          <w:i/>
          <w:iCs/>
          <w:lang w:val="en-GB"/>
        </w:rPr>
        <w:t xml:space="preserve">Hôn nhân Kitô Giáo, </w:t>
      </w:r>
      <w:r w:rsidRPr="00195E08">
        <w:rPr>
          <w:lang w:val="en-GB"/>
        </w:rPr>
        <w:t>Nxb. Thuận Hóa, 1995, trg.133.</w:t>
      </w:r>
    </w:p>
  </w:footnote>
  <w:footnote w:id="17">
    <w:p w14:paraId="609992A2" w14:textId="76C7D02C" w:rsidR="00EC7F80" w:rsidRPr="00E52F04" w:rsidRDefault="00EC7F80" w:rsidP="00EC7F80">
      <w:pPr>
        <w:pStyle w:val="Notedebasdepage"/>
        <w:rPr>
          <w:lang w:val="vi-VN"/>
        </w:rPr>
      </w:pPr>
      <w:r>
        <w:rPr>
          <w:rStyle w:val="Appelnotedebasdep"/>
        </w:rPr>
        <w:footnoteRef/>
      </w:r>
      <w:r w:rsidRPr="00B520EF">
        <w:rPr>
          <w:lang w:val="en-GB"/>
        </w:rPr>
        <w:t xml:space="preserve"> Cf. </w:t>
      </w:r>
      <w:r w:rsidRPr="00B520EF">
        <w:rPr>
          <w:i/>
          <w:iCs/>
          <w:lang w:val="en-GB"/>
        </w:rPr>
        <w:t>Familiaris Consortio</w:t>
      </w:r>
      <w:r w:rsidRPr="00B520EF">
        <w:rPr>
          <w:lang w:val="en-GB"/>
        </w:rPr>
        <w:t>, số 83</w:t>
      </w:r>
      <w:r w:rsidR="00E52F04">
        <w:rPr>
          <w:lang w:val="vi-VN"/>
        </w:rPr>
        <w:t>.</w:t>
      </w:r>
    </w:p>
  </w:footnote>
  <w:footnote w:id="18">
    <w:p w14:paraId="7E9B4BE1" w14:textId="2B18C00D" w:rsidR="00EC7F80" w:rsidRPr="000868CF" w:rsidRDefault="00EC7F80" w:rsidP="00EC7F80">
      <w:pPr>
        <w:pStyle w:val="Notedebasdepage"/>
        <w:rPr>
          <w:lang w:val="en-GB"/>
        </w:rPr>
      </w:pPr>
      <w:r>
        <w:rPr>
          <w:rStyle w:val="Appelnotedebasdep"/>
        </w:rPr>
        <w:footnoteRef/>
      </w:r>
      <w:r w:rsidRPr="000868CF">
        <w:rPr>
          <w:lang w:val="en-GB"/>
        </w:rPr>
        <w:t xml:space="preserve"> </w:t>
      </w:r>
      <w:r>
        <w:rPr>
          <w:lang w:val="en-GB"/>
        </w:rPr>
        <w:t xml:space="preserve">Cf. </w:t>
      </w:r>
      <w:r w:rsidR="00B263B6">
        <w:rPr>
          <w:lang w:val="vi-VN"/>
        </w:rPr>
        <w:t>BGL</w:t>
      </w:r>
      <w:r>
        <w:rPr>
          <w:lang w:val="en-GB"/>
        </w:rPr>
        <w:t>/83, đ.1154.</w:t>
      </w:r>
    </w:p>
  </w:footnote>
  <w:footnote w:id="19">
    <w:p w14:paraId="26BB00AF" w14:textId="2D757911" w:rsidR="00EC7F80" w:rsidRPr="000868CF" w:rsidRDefault="00EC7F80" w:rsidP="00EC7F80">
      <w:pPr>
        <w:pStyle w:val="Notedebasdepage"/>
        <w:rPr>
          <w:lang w:val="en-GB"/>
        </w:rPr>
      </w:pPr>
      <w:r>
        <w:rPr>
          <w:rStyle w:val="Appelnotedebasdep"/>
        </w:rPr>
        <w:footnoteRef/>
      </w:r>
      <w:r w:rsidRPr="000868CF">
        <w:rPr>
          <w:lang w:val="en-GB"/>
        </w:rPr>
        <w:t xml:space="preserve"> </w:t>
      </w:r>
      <w:r>
        <w:rPr>
          <w:lang w:val="en-GB"/>
        </w:rPr>
        <w:t xml:space="preserve">Cf. </w:t>
      </w:r>
      <w:r w:rsidR="00B263B6">
        <w:rPr>
          <w:lang w:val="vi-VN"/>
        </w:rPr>
        <w:t>BGL</w:t>
      </w:r>
      <w:r>
        <w:rPr>
          <w:lang w:val="en-GB"/>
        </w:rPr>
        <w:t>/83, đ.1155.</w:t>
      </w:r>
    </w:p>
  </w:footnote>
  <w:footnote w:id="20">
    <w:p w14:paraId="6F15FC7C" w14:textId="76FE941E" w:rsidR="00EC7F80" w:rsidRPr="00A67C15" w:rsidRDefault="00EC7F80" w:rsidP="00EC7F80">
      <w:pPr>
        <w:pStyle w:val="Notedebasdepage"/>
        <w:rPr>
          <w:lang w:val="en-GB"/>
        </w:rPr>
      </w:pPr>
      <w:r>
        <w:rPr>
          <w:rStyle w:val="Appelnotedebasdep"/>
        </w:rPr>
        <w:footnoteRef/>
      </w:r>
      <w:r w:rsidRPr="00A67C15">
        <w:rPr>
          <w:lang w:val="en-GB"/>
        </w:rPr>
        <w:t xml:space="preserve"> </w:t>
      </w:r>
      <w:r>
        <w:rPr>
          <w:lang w:val="en-GB"/>
        </w:rPr>
        <w:t xml:space="preserve">Cf. </w:t>
      </w:r>
      <w:r w:rsidR="00B263B6">
        <w:rPr>
          <w:lang w:val="vi-VN"/>
        </w:rPr>
        <w:t>BGL</w:t>
      </w:r>
      <w:r>
        <w:rPr>
          <w:lang w:val="en-GB"/>
        </w:rPr>
        <w:t>/83, đ.</w:t>
      </w:r>
      <w:r w:rsidRPr="006E5DB7">
        <w:rPr>
          <w:lang w:val="en-GB"/>
        </w:rPr>
        <w:t>1692 §1</w:t>
      </w:r>
      <w:r>
        <w:rPr>
          <w:lang w:val="en-GB"/>
        </w:rPr>
        <w:t>.</w:t>
      </w:r>
    </w:p>
  </w:footnote>
  <w:footnote w:id="21">
    <w:p w14:paraId="398402C1" w14:textId="4DB82662" w:rsidR="00EC7F80" w:rsidRPr="00A67C15" w:rsidRDefault="00EC7F80" w:rsidP="00EC7F80">
      <w:pPr>
        <w:pStyle w:val="Notedebasdepage"/>
        <w:rPr>
          <w:lang w:val="en-GB"/>
        </w:rPr>
      </w:pPr>
      <w:r>
        <w:rPr>
          <w:rStyle w:val="Appelnotedebasdep"/>
        </w:rPr>
        <w:footnoteRef/>
      </w:r>
      <w:r w:rsidRPr="00A67C15">
        <w:rPr>
          <w:lang w:val="en-GB"/>
        </w:rPr>
        <w:t xml:space="preserve"> </w:t>
      </w:r>
      <w:r>
        <w:rPr>
          <w:lang w:val="en-GB"/>
        </w:rPr>
        <w:t>Cf.</w:t>
      </w:r>
      <w:r w:rsidR="00B263B6">
        <w:rPr>
          <w:lang w:val="vi-VN"/>
        </w:rPr>
        <w:t xml:space="preserve"> BGL</w:t>
      </w:r>
      <w:r>
        <w:rPr>
          <w:lang w:val="en-GB"/>
        </w:rPr>
        <w:t>/83, đ.</w:t>
      </w:r>
      <w:r w:rsidRPr="006E5DB7">
        <w:rPr>
          <w:lang w:val="en-GB"/>
        </w:rPr>
        <w:t>1693 §1</w:t>
      </w:r>
      <w:r>
        <w:rPr>
          <w:lang w:val="en-GB"/>
        </w:rPr>
        <w:t>.</w:t>
      </w:r>
    </w:p>
  </w:footnote>
  <w:footnote w:id="22">
    <w:p w14:paraId="186A7A8F" w14:textId="56D39BC8" w:rsidR="00EC7F80" w:rsidRPr="00A67C15" w:rsidRDefault="00EC7F80" w:rsidP="00EC7F80">
      <w:pPr>
        <w:pStyle w:val="Notedebasdepage"/>
        <w:rPr>
          <w:lang w:val="en-GB"/>
        </w:rPr>
      </w:pPr>
      <w:r>
        <w:rPr>
          <w:rStyle w:val="Appelnotedebasdep"/>
        </w:rPr>
        <w:footnoteRef/>
      </w:r>
      <w:r w:rsidRPr="00A67C15">
        <w:rPr>
          <w:lang w:val="en-GB"/>
        </w:rPr>
        <w:t xml:space="preserve"> </w:t>
      </w:r>
      <w:r>
        <w:rPr>
          <w:lang w:val="en-GB"/>
        </w:rPr>
        <w:t xml:space="preserve">Cf. </w:t>
      </w:r>
      <w:r w:rsidR="00B263B6">
        <w:rPr>
          <w:lang w:val="vi-VN"/>
        </w:rPr>
        <w:t>BGL</w:t>
      </w:r>
      <w:r>
        <w:rPr>
          <w:lang w:val="en-GB"/>
        </w:rPr>
        <w:t>/83, đ.</w:t>
      </w:r>
      <w:r w:rsidRPr="006E5DB7">
        <w:rPr>
          <w:lang w:val="en-GB"/>
        </w:rPr>
        <w:t>1695.</w:t>
      </w:r>
    </w:p>
  </w:footnote>
  <w:footnote w:id="23">
    <w:p w14:paraId="47EC8EA0" w14:textId="022A5B31" w:rsidR="00EC7F80" w:rsidRPr="00195E08" w:rsidRDefault="00EC7F80" w:rsidP="00EC7F80">
      <w:pPr>
        <w:pStyle w:val="Notedebasdepage"/>
        <w:jc w:val="both"/>
        <w:rPr>
          <w:lang w:val="en-GB"/>
        </w:rPr>
      </w:pPr>
      <w:r w:rsidRPr="0066591F">
        <w:rPr>
          <w:rStyle w:val="Appelnotedebasdep"/>
        </w:rPr>
        <w:footnoteRef/>
      </w:r>
      <w:r w:rsidRPr="00195E08">
        <w:rPr>
          <w:lang w:val="en-GB"/>
        </w:rPr>
        <w:t xml:space="preserve"> Cf. LÊ NGỌC DŨNG, </w:t>
      </w:r>
      <w:r w:rsidRPr="00195E08">
        <w:rPr>
          <w:i/>
          <w:iCs/>
          <w:lang w:val="en-GB"/>
        </w:rPr>
        <w:t xml:space="preserve">Cẩm Nang Mục Vụ Giáo Luật. Giáo Luật Bí Tích Hôn Nhân, </w:t>
      </w:r>
      <w:r w:rsidRPr="00195E08">
        <w:rPr>
          <w:lang w:val="en-GB"/>
        </w:rPr>
        <w:t>Nxb. Tôn Giáo, 2017, trg.194-195.</w:t>
      </w:r>
    </w:p>
  </w:footnote>
  <w:footnote w:id="24">
    <w:p w14:paraId="59285F53" w14:textId="1577EF90" w:rsidR="00EC7F80" w:rsidRPr="00F32E6D" w:rsidRDefault="00EC7F80" w:rsidP="00EC7F80">
      <w:pPr>
        <w:pStyle w:val="Notedebasdepage"/>
        <w:rPr>
          <w:lang w:val="en-GB"/>
        </w:rPr>
      </w:pPr>
      <w:r>
        <w:rPr>
          <w:rStyle w:val="Appelnotedebasdep"/>
        </w:rPr>
        <w:footnoteRef/>
      </w:r>
      <w:r w:rsidRPr="00F32E6D">
        <w:rPr>
          <w:lang w:val="en-GB"/>
        </w:rPr>
        <w:t xml:space="preserve"> Cf. </w:t>
      </w:r>
      <w:r w:rsidR="00B263B6">
        <w:rPr>
          <w:lang w:val="vi-VN"/>
        </w:rPr>
        <w:t>BGL</w:t>
      </w:r>
      <w:r w:rsidRPr="00F32E6D">
        <w:rPr>
          <w:lang w:val="en-GB"/>
        </w:rPr>
        <w:t>/83, đ.1153</w:t>
      </w:r>
      <w:r>
        <w:rPr>
          <w:lang w:val="en-GB"/>
        </w:rPr>
        <w:t xml:space="preserve"> §1.</w:t>
      </w:r>
    </w:p>
  </w:footnote>
  <w:footnote w:id="25">
    <w:p w14:paraId="7CDDCCC3" w14:textId="7636C1C4" w:rsidR="00EC7F80" w:rsidRPr="00F32E6D" w:rsidRDefault="00EC7F80" w:rsidP="00EC7F80">
      <w:pPr>
        <w:pStyle w:val="Notedebasdepage"/>
        <w:rPr>
          <w:lang w:val="en-GB"/>
        </w:rPr>
      </w:pPr>
      <w:r>
        <w:rPr>
          <w:rStyle w:val="Appelnotedebasdep"/>
        </w:rPr>
        <w:footnoteRef/>
      </w:r>
      <w:r w:rsidRPr="00F32E6D">
        <w:rPr>
          <w:lang w:val="en-GB"/>
        </w:rPr>
        <w:t xml:space="preserve"> </w:t>
      </w:r>
      <w:r>
        <w:rPr>
          <w:lang w:val="en-GB"/>
        </w:rPr>
        <w:t xml:space="preserve">Cf. </w:t>
      </w:r>
      <w:r w:rsidR="00B263B6">
        <w:rPr>
          <w:lang w:val="vi-VN"/>
        </w:rPr>
        <w:t>BGL</w:t>
      </w:r>
      <w:r>
        <w:rPr>
          <w:lang w:val="en-GB"/>
        </w:rPr>
        <w:t xml:space="preserve">/83, đ.1692 §2. </w:t>
      </w:r>
    </w:p>
  </w:footnote>
  <w:footnote w:id="26">
    <w:p w14:paraId="64055E55" w14:textId="23779135" w:rsidR="00EC7F80" w:rsidRPr="00F32E6D" w:rsidRDefault="00EC7F80" w:rsidP="00EC7F80">
      <w:pPr>
        <w:pStyle w:val="Notedebasdepage"/>
        <w:rPr>
          <w:lang w:val="en-GB"/>
        </w:rPr>
      </w:pPr>
      <w:r>
        <w:rPr>
          <w:rStyle w:val="Appelnotedebasdep"/>
        </w:rPr>
        <w:footnoteRef/>
      </w:r>
      <w:r w:rsidRPr="00F32E6D">
        <w:rPr>
          <w:lang w:val="en-GB"/>
        </w:rPr>
        <w:t xml:space="preserve"> </w:t>
      </w:r>
      <w:r>
        <w:rPr>
          <w:lang w:val="en-GB"/>
        </w:rPr>
        <w:t xml:space="preserve">Cf. </w:t>
      </w:r>
      <w:r w:rsidR="00B263B6">
        <w:rPr>
          <w:lang w:val="vi-VN"/>
        </w:rPr>
        <w:t>BGL</w:t>
      </w:r>
      <w:r>
        <w:rPr>
          <w:lang w:val="en-GB"/>
        </w:rPr>
        <w:t xml:space="preserve">/83, đ.1153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DBD"/>
    <w:multiLevelType w:val="hybridMultilevel"/>
    <w:tmpl w:val="C2FCF148"/>
    <w:lvl w:ilvl="0" w:tplc="0970745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71732"/>
    <w:multiLevelType w:val="hybridMultilevel"/>
    <w:tmpl w:val="A3F0A970"/>
    <w:lvl w:ilvl="0" w:tplc="971EE070">
      <w:start w:val="1"/>
      <w:numFmt w:val="decimal"/>
      <w:lvlText w:val="%1."/>
      <w:lvlJc w:val="left"/>
      <w:pPr>
        <w:ind w:left="1495" w:hanging="360"/>
      </w:pPr>
      <w:rPr>
        <w:rFonts w:hint="default"/>
        <w:b/>
        <w:bCs/>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 w15:restartNumberingAfterBreak="0">
    <w:nsid w:val="16E86825"/>
    <w:multiLevelType w:val="hybridMultilevel"/>
    <w:tmpl w:val="3C8E9FE4"/>
    <w:lvl w:ilvl="0" w:tplc="2684F3A8">
      <w:start w:val="1"/>
      <w:numFmt w:val="decimal"/>
      <w:lvlText w:val="%1&gt;"/>
      <w:lvlJc w:val="left"/>
      <w:pPr>
        <w:ind w:left="303" w:hanging="36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3" w15:restartNumberingAfterBreak="0">
    <w:nsid w:val="17F54B23"/>
    <w:multiLevelType w:val="hybridMultilevel"/>
    <w:tmpl w:val="7BC6F398"/>
    <w:lvl w:ilvl="0" w:tplc="F000FA7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19080B87"/>
    <w:multiLevelType w:val="hybridMultilevel"/>
    <w:tmpl w:val="F11EA08E"/>
    <w:lvl w:ilvl="0" w:tplc="F55C93C8">
      <w:start w:val="1"/>
      <w:numFmt w:val="decimal"/>
      <w:lvlText w:val="%1."/>
      <w:lvlJc w:val="left"/>
      <w:pPr>
        <w:ind w:left="720" w:hanging="360"/>
      </w:pPr>
      <w:rPr>
        <w:rFonts w:ascii="Times New Roman" w:eastAsiaTheme="minorHAnsi" w:hAnsi="Times New Roman" w:cs="Times New Roman"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E4494B"/>
    <w:multiLevelType w:val="hybridMultilevel"/>
    <w:tmpl w:val="14460A5A"/>
    <w:lvl w:ilvl="0" w:tplc="852683E2">
      <w:start w:val="1"/>
      <w:numFmt w:val="upperLetter"/>
      <w:lvlText w:val="%1."/>
      <w:lvlJc w:val="left"/>
      <w:pPr>
        <w:ind w:left="1211" w:hanging="360"/>
      </w:pPr>
      <w:rPr>
        <w:rFonts w:hint="default"/>
        <w:b/>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443B45AF"/>
    <w:multiLevelType w:val="hybridMultilevel"/>
    <w:tmpl w:val="69B6FB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486B0D"/>
    <w:multiLevelType w:val="hybridMultilevel"/>
    <w:tmpl w:val="AE940388"/>
    <w:lvl w:ilvl="0" w:tplc="CD2CB730">
      <w:start w:val="1"/>
      <w:numFmt w:val="upperRoman"/>
      <w:lvlText w:val="%1."/>
      <w:lvlJc w:val="left"/>
      <w:pPr>
        <w:ind w:left="1004" w:hanging="72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48577FAE"/>
    <w:multiLevelType w:val="hybridMultilevel"/>
    <w:tmpl w:val="2A18597E"/>
    <w:lvl w:ilvl="0" w:tplc="D3A86784">
      <w:start w:val="1"/>
      <w:numFmt w:val="decimal"/>
      <w:lvlText w:val="%1."/>
      <w:lvlJc w:val="left"/>
      <w:pPr>
        <w:ind w:left="1495" w:hanging="360"/>
      </w:pPr>
      <w:rPr>
        <w:rFonts w:hint="default"/>
        <w:b/>
        <w:bCs w:val="0"/>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9" w15:restartNumberingAfterBreak="0">
    <w:nsid w:val="59F437A9"/>
    <w:multiLevelType w:val="hybridMultilevel"/>
    <w:tmpl w:val="4CC6C93E"/>
    <w:lvl w:ilvl="0" w:tplc="017087C6">
      <w:start w:val="1"/>
      <w:numFmt w:val="decimal"/>
      <w:lvlText w:val="%1."/>
      <w:lvlJc w:val="left"/>
      <w:pPr>
        <w:ind w:left="720" w:hanging="360"/>
      </w:pPr>
      <w:rPr>
        <w:rFonts w:ascii="Times New Roman" w:eastAsiaTheme="minorHAnsi"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076169"/>
    <w:multiLevelType w:val="hybridMultilevel"/>
    <w:tmpl w:val="C0B2FEBE"/>
    <w:lvl w:ilvl="0" w:tplc="AA7CE94C">
      <w:start w:val="1"/>
      <w:numFmt w:val="decimal"/>
      <w:lvlText w:val="%1)"/>
      <w:lvlJc w:val="left"/>
      <w:pPr>
        <w:ind w:left="303" w:hanging="36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num w:numId="1">
    <w:abstractNumId w:val="0"/>
  </w:num>
  <w:num w:numId="2">
    <w:abstractNumId w:val="7"/>
  </w:num>
  <w:num w:numId="3">
    <w:abstractNumId w:val="5"/>
  </w:num>
  <w:num w:numId="4">
    <w:abstractNumId w:val="1"/>
  </w:num>
  <w:num w:numId="5">
    <w:abstractNumId w:val="8"/>
  </w:num>
  <w:num w:numId="6">
    <w:abstractNumId w:val="3"/>
  </w:num>
  <w:num w:numId="7">
    <w:abstractNumId w:val="10"/>
  </w:num>
  <w:num w:numId="8">
    <w:abstractNumId w:val="2"/>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80"/>
    <w:rsid w:val="0000213F"/>
    <w:rsid w:val="000326BA"/>
    <w:rsid w:val="00080107"/>
    <w:rsid w:val="000C4DF4"/>
    <w:rsid w:val="001068A1"/>
    <w:rsid w:val="00126DA6"/>
    <w:rsid w:val="0014160B"/>
    <w:rsid w:val="00166D26"/>
    <w:rsid w:val="001A5D16"/>
    <w:rsid w:val="001B0793"/>
    <w:rsid w:val="00245254"/>
    <w:rsid w:val="002964AF"/>
    <w:rsid w:val="00303739"/>
    <w:rsid w:val="00331299"/>
    <w:rsid w:val="003A0890"/>
    <w:rsid w:val="00403E37"/>
    <w:rsid w:val="00407809"/>
    <w:rsid w:val="00443E95"/>
    <w:rsid w:val="00475268"/>
    <w:rsid w:val="004923EF"/>
    <w:rsid w:val="004E2F5E"/>
    <w:rsid w:val="004F5EF7"/>
    <w:rsid w:val="00586607"/>
    <w:rsid w:val="00587ABA"/>
    <w:rsid w:val="005B2B37"/>
    <w:rsid w:val="006111D0"/>
    <w:rsid w:val="00616D50"/>
    <w:rsid w:val="00662EF3"/>
    <w:rsid w:val="006A45DB"/>
    <w:rsid w:val="006D3D66"/>
    <w:rsid w:val="006D4C5B"/>
    <w:rsid w:val="00724A94"/>
    <w:rsid w:val="0074402A"/>
    <w:rsid w:val="007B458D"/>
    <w:rsid w:val="007B5FF9"/>
    <w:rsid w:val="007C0110"/>
    <w:rsid w:val="00833AFA"/>
    <w:rsid w:val="0083455F"/>
    <w:rsid w:val="00894A4C"/>
    <w:rsid w:val="008B2C14"/>
    <w:rsid w:val="00930C50"/>
    <w:rsid w:val="0093197E"/>
    <w:rsid w:val="009B56B4"/>
    <w:rsid w:val="009E64D3"/>
    <w:rsid w:val="00A10779"/>
    <w:rsid w:val="00AA6C91"/>
    <w:rsid w:val="00AC22BD"/>
    <w:rsid w:val="00AF5882"/>
    <w:rsid w:val="00B10859"/>
    <w:rsid w:val="00B149ED"/>
    <w:rsid w:val="00B263B6"/>
    <w:rsid w:val="00B440F0"/>
    <w:rsid w:val="00B862FB"/>
    <w:rsid w:val="00B9796F"/>
    <w:rsid w:val="00BB6C72"/>
    <w:rsid w:val="00BF682A"/>
    <w:rsid w:val="00C21F90"/>
    <w:rsid w:val="00C34367"/>
    <w:rsid w:val="00C710D0"/>
    <w:rsid w:val="00C90CE8"/>
    <w:rsid w:val="00C9457F"/>
    <w:rsid w:val="00CA5801"/>
    <w:rsid w:val="00CA7283"/>
    <w:rsid w:val="00CE4007"/>
    <w:rsid w:val="00CF5CA2"/>
    <w:rsid w:val="00D10136"/>
    <w:rsid w:val="00D21C31"/>
    <w:rsid w:val="00D647D5"/>
    <w:rsid w:val="00D87D05"/>
    <w:rsid w:val="00D9610C"/>
    <w:rsid w:val="00E06072"/>
    <w:rsid w:val="00E2427E"/>
    <w:rsid w:val="00E47AC8"/>
    <w:rsid w:val="00E52F04"/>
    <w:rsid w:val="00EA4A00"/>
    <w:rsid w:val="00EC7F80"/>
    <w:rsid w:val="00ED57A9"/>
    <w:rsid w:val="00EE34A9"/>
    <w:rsid w:val="00F05993"/>
    <w:rsid w:val="00F11B1E"/>
    <w:rsid w:val="00F22E4D"/>
    <w:rsid w:val="00F7501B"/>
    <w:rsid w:val="00FD345F"/>
    <w:rsid w:val="00FF7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22A4"/>
  <w15:chartTrackingRefBased/>
  <w15:docId w15:val="{849CEF04-7CD1-45F7-8C85-955F6580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80"/>
    <w:pPr>
      <w:spacing w:line="259" w:lineRule="auto"/>
    </w:pPr>
    <w:rPr>
      <w:rFonts w:cs="Times New Roman"/>
      <w:szCs w:val="24"/>
    </w:rPr>
  </w:style>
  <w:style w:type="paragraph" w:styleId="Titre1">
    <w:name w:val="heading 1"/>
    <w:basedOn w:val="Normal"/>
    <w:next w:val="Normal"/>
    <w:link w:val="Titre1Car"/>
    <w:uiPriority w:val="9"/>
    <w:qFormat/>
    <w:rsid w:val="00EC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C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C7F8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7F8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C7F8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C7F80"/>
    <w:rPr>
      <w:rFonts w:asciiTheme="majorHAnsi" w:eastAsiaTheme="majorEastAsia" w:hAnsiTheme="majorHAnsi" w:cstheme="majorBidi"/>
      <w:color w:val="1F3763" w:themeColor="accent1" w:themeShade="7F"/>
      <w:szCs w:val="24"/>
    </w:rPr>
  </w:style>
  <w:style w:type="paragraph" w:styleId="Paragraphedeliste">
    <w:name w:val="List Paragraph"/>
    <w:basedOn w:val="Normal"/>
    <w:uiPriority w:val="34"/>
    <w:qFormat/>
    <w:rsid w:val="00EC7F80"/>
    <w:pPr>
      <w:ind w:left="720"/>
      <w:contextualSpacing/>
    </w:pPr>
  </w:style>
  <w:style w:type="paragraph" w:styleId="Notedebasdepage">
    <w:name w:val="footnote text"/>
    <w:basedOn w:val="Normal"/>
    <w:link w:val="NotedebasdepageCar"/>
    <w:uiPriority w:val="99"/>
    <w:unhideWhenUsed/>
    <w:rsid w:val="00EC7F80"/>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EC7F80"/>
    <w:rPr>
      <w:rFonts w:cs="Times New Roman"/>
      <w:sz w:val="20"/>
      <w:szCs w:val="20"/>
    </w:rPr>
  </w:style>
  <w:style w:type="character" w:styleId="Appelnotedebasdep">
    <w:name w:val="footnote reference"/>
    <w:basedOn w:val="Policepardfaut"/>
    <w:uiPriority w:val="99"/>
    <w:unhideWhenUsed/>
    <w:rsid w:val="00EC7F80"/>
    <w:rPr>
      <w:vertAlign w:val="superscript"/>
    </w:rPr>
  </w:style>
  <w:style w:type="paragraph" w:styleId="En-tte">
    <w:name w:val="header"/>
    <w:basedOn w:val="Normal"/>
    <w:link w:val="En-tteCar"/>
    <w:uiPriority w:val="99"/>
    <w:unhideWhenUsed/>
    <w:rsid w:val="00EE34A9"/>
    <w:pPr>
      <w:tabs>
        <w:tab w:val="center" w:pos="4536"/>
        <w:tab w:val="right" w:pos="9072"/>
      </w:tabs>
      <w:spacing w:before="0" w:after="0" w:line="240" w:lineRule="auto"/>
    </w:pPr>
  </w:style>
  <w:style w:type="character" w:customStyle="1" w:styleId="En-tteCar">
    <w:name w:val="En-tête Car"/>
    <w:basedOn w:val="Policepardfaut"/>
    <w:link w:val="En-tte"/>
    <w:uiPriority w:val="99"/>
    <w:rsid w:val="00EE34A9"/>
    <w:rPr>
      <w:rFonts w:cs="Times New Roman"/>
      <w:szCs w:val="24"/>
    </w:rPr>
  </w:style>
  <w:style w:type="paragraph" w:styleId="Pieddepage">
    <w:name w:val="footer"/>
    <w:basedOn w:val="Normal"/>
    <w:link w:val="PieddepageCar"/>
    <w:uiPriority w:val="99"/>
    <w:unhideWhenUsed/>
    <w:rsid w:val="00EE34A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E34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FEC2-4B95-4C1E-A664-42124ACA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2129</Words>
  <Characters>11715</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PHUC TRAN</dc:creator>
  <cp:keywords/>
  <dc:description/>
  <cp:lastModifiedBy>DINH PHUC TRAN</cp:lastModifiedBy>
  <cp:revision>44</cp:revision>
  <cp:lastPrinted>2022-03-28T09:53:00Z</cp:lastPrinted>
  <dcterms:created xsi:type="dcterms:W3CDTF">2022-03-28T02:12:00Z</dcterms:created>
  <dcterms:modified xsi:type="dcterms:W3CDTF">2022-03-28T10:05:00Z</dcterms:modified>
</cp:coreProperties>
</file>